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275A" w:rsidRPr="004929CB" w:rsidRDefault="00B6275A" w:rsidP="00B6275A">
      <w:pPr>
        <w:pStyle w:val="Textonotapie"/>
        <w:tabs>
          <w:tab w:val="left" w:pos="6379"/>
          <w:tab w:val="left" w:pos="7230"/>
          <w:tab w:val="left" w:pos="8505"/>
        </w:tabs>
        <w:ind w:left="2552" w:right="2126" w:hanging="1276"/>
        <w:jc w:val="both"/>
        <w:rPr>
          <w:rFonts w:ascii="Tahoma" w:hAnsi="Tahoma" w:cs="Tahoma"/>
          <w:i/>
          <w:sz w:val="21"/>
          <w:szCs w:val="21"/>
        </w:rPr>
      </w:pPr>
      <w:r w:rsidRPr="004929CB">
        <w:rPr>
          <w:rFonts w:ascii="Tahoma" w:hAnsi="Tahoma" w:cs="Tahoma"/>
          <w:b/>
          <w:i/>
          <w:sz w:val="21"/>
          <w:szCs w:val="21"/>
        </w:rPr>
        <w:t xml:space="preserve">Sumilla   : </w:t>
      </w:r>
      <w:r w:rsidRPr="004929CB">
        <w:rPr>
          <w:rFonts w:ascii="Tahoma" w:hAnsi="Tahoma" w:cs="Tahoma"/>
          <w:b/>
          <w:i/>
          <w:sz w:val="21"/>
          <w:szCs w:val="21"/>
        </w:rPr>
        <w:tab/>
      </w:r>
      <w:r w:rsidRPr="004929CB">
        <w:rPr>
          <w:rFonts w:ascii="Tahoma" w:hAnsi="Tahoma" w:cs="Tahoma"/>
          <w:i/>
          <w:sz w:val="21"/>
          <w:szCs w:val="21"/>
        </w:rPr>
        <w:t>Las Bases constituyen las reglas del proceso de selección y es en función de ellas que debe efectuarse la calificación y evaluación de las propuestas, conforme a lo dispuesto en el artículo 26º de la Ley de Contrataciones del Estado, la cual señala que lo establecido en las Bases, en la citada Ley y en el Reglamento de la Ley de Contrataciones del Estado, obliga a todos los postores y a la Entidad convocante.</w:t>
      </w:r>
    </w:p>
    <w:p w:rsidR="00B6275A" w:rsidRPr="004929CB" w:rsidRDefault="00B6275A" w:rsidP="00B6275A">
      <w:pPr>
        <w:pStyle w:val="Textonotapie"/>
        <w:tabs>
          <w:tab w:val="left" w:pos="5812"/>
          <w:tab w:val="left" w:pos="5954"/>
          <w:tab w:val="left" w:pos="7230"/>
          <w:tab w:val="left" w:pos="8505"/>
        </w:tabs>
        <w:ind w:left="2552" w:right="2551" w:hanging="1276"/>
        <w:jc w:val="both"/>
        <w:rPr>
          <w:rFonts w:ascii="Tahoma" w:hAnsi="Tahoma" w:cs="Tahoma"/>
          <w:i/>
          <w:sz w:val="21"/>
          <w:szCs w:val="21"/>
        </w:rPr>
      </w:pPr>
    </w:p>
    <w:p w:rsidR="00B6275A" w:rsidRPr="004929CB" w:rsidRDefault="00B6275A" w:rsidP="00B6275A">
      <w:pPr>
        <w:pStyle w:val="Textoindependiente3"/>
        <w:tabs>
          <w:tab w:val="left" w:pos="3544"/>
          <w:tab w:val="left" w:pos="7230"/>
          <w:tab w:val="left" w:pos="8505"/>
        </w:tabs>
        <w:spacing w:after="0"/>
        <w:ind w:left="4248"/>
        <w:rPr>
          <w:rFonts w:ascii="Tahoma" w:hAnsi="Tahoma" w:cs="Tahoma"/>
          <w:b/>
          <w:sz w:val="21"/>
          <w:szCs w:val="21"/>
        </w:rPr>
      </w:pPr>
      <w:r w:rsidRPr="004929CB">
        <w:rPr>
          <w:rFonts w:ascii="Tahoma" w:hAnsi="Tahoma" w:cs="Tahoma"/>
          <w:b/>
          <w:sz w:val="21"/>
          <w:szCs w:val="21"/>
        </w:rPr>
        <w:t xml:space="preserve">Lima, </w:t>
      </w:r>
      <w:r w:rsidR="00B0312D">
        <w:rPr>
          <w:rFonts w:ascii="Tahoma" w:hAnsi="Tahoma" w:cs="Tahoma"/>
          <w:b/>
          <w:sz w:val="21"/>
          <w:szCs w:val="21"/>
        </w:rPr>
        <w:t>08 de Junio de 2011</w:t>
      </w:r>
    </w:p>
    <w:p w:rsidR="00B6275A" w:rsidRPr="004929CB" w:rsidRDefault="00B6275A" w:rsidP="00B6275A">
      <w:pPr>
        <w:pStyle w:val="Textoindependiente"/>
        <w:tabs>
          <w:tab w:val="left" w:pos="540"/>
          <w:tab w:val="left" w:pos="3544"/>
          <w:tab w:val="left" w:pos="7230"/>
          <w:tab w:val="left" w:pos="8505"/>
        </w:tabs>
        <w:rPr>
          <w:rFonts w:cs="Tahoma"/>
          <w:b/>
          <w:sz w:val="21"/>
          <w:szCs w:val="21"/>
          <w:lang w:val="es-PE"/>
        </w:rPr>
      </w:pPr>
    </w:p>
    <w:p w:rsidR="00B6275A" w:rsidRPr="004929CB" w:rsidRDefault="00B6275A" w:rsidP="00B6275A">
      <w:pPr>
        <w:pStyle w:val="Textoindependiente"/>
        <w:tabs>
          <w:tab w:val="left" w:pos="540"/>
          <w:tab w:val="left" w:pos="3544"/>
          <w:tab w:val="left" w:pos="7230"/>
          <w:tab w:val="left" w:pos="8505"/>
        </w:tabs>
        <w:rPr>
          <w:rFonts w:cs="Tahoma"/>
          <w:b/>
          <w:sz w:val="21"/>
          <w:szCs w:val="21"/>
          <w:lang w:val="es-PE"/>
        </w:rPr>
      </w:pPr>
    </w:p>
    <w:p w:rsidR="00B6275A" w:rsidRPr="00B6275A" w:rsidRDefault="00B6275A" w:rsidP="00B6275A">
      <w:pPr>
        <w:tabs>
          <w:tab w:val="left" w:pos="567"/>
        </w:tabs>
        <w:autoSpaceDE w:val="0"/>
        <w:autoSpaceDN w:val="0"/>
        <w:adjustRightInd w:val="0"/>
        <w:ind w:firstLine="567"/>
        <w:jc w:val="both"/>
        <w:rPr>
          <w:rFonts w:ascii="Tahoma" w:hAnsi="Tahoma" w:cs="Tahoma"/>
          <w:sz w:val="22"/>
          <w:szCs w:val="22"/>
        </w:rPr>
      </w:pPr>
      <w:r w:rsidRPr="00B6275A">
        <w:rPr>
          <w:rFonts w:ascii="Tahoma" w:hAnsi="Tahoma" w:cs="Tahoma"/>
          <w:b/>
          <w:sz w:val="22"/>
          <w:szCs w:val="22"/>
        </w:rPr>
        <w:t>Visto</w:t>
      </w:r>
      <w:r w:rsidRPr="00B6275A">
        <w:rPr>
          <w:rFonts w:ascii="Tahoma" w:hAnsi="Tahoma" w:cs="Tahoma"/>
          <w:sz w:val="22"/>
          <w:szCs w:val="22"/>
        </w:rPr>
        <w:t xml:space="preserve"> en sesión de fecha 08 de junio del 2011 de la Primera Sala del Tribunal de Contrataciones del Estado el Expediente Nº 452-2011.TC, sobre el recurso de apelación interpuesto por el Consorcio Rio Mayo conformado por las empresas Math Construcción y Consultoría SAC; Ingeniería Corporativa Contratistas Generales SAC y HCB Contratistas Generales SRL contra el otorgamiento de la buena pro </w:t>
      </w:r>
      <w:r w:rsidR="00FD2837">
        <w:rPr>
          <w:rFonts w:ascii="Tahoma" w:hAnsi="Tahoma" w:cs="Tahoma"/>
          <w:sz w:val="22"/>
          <w:szCs w:val="22"/>
        </w:rPr>
        <w:t xml:space="preserve">de la </w:t>
      </w:r>
      <w:r w:rsidRPr="00B6275A">
        <w:rPr>
          <w:rFonts w:ascii="Tahoma" w:hAnsi="Tahoma" w:cs="Tahoma"/>
          <w:sz w:val="22"/>
          <w:szCs w:val="22"/>
        </w:rPr>
        <w:t>Licitación Pública N.º 001 – 2011 – INPE-OIP</w:t>
      </w:r>
      <w:r w:rsidR="00FD2837">
        <w:rPr>
          <w:rFonts w:ascii="Tahoma" w:hAnsi="Tahoma" w:cs="Tahoma"/>
          <w:sz w:val="22"/>
          <w:szCs w:val="22"/>
        </w:rPr>
        <w:t xml:space="preserve">, </w:t>
      </w:r>
      <w:r w:rsidRPr="00B6275A">
        <w:rPr>
          <w:rFonts w:ascii="Tahoma" w:hAnsi="Tahoma" w:cs="Tahoma"/>
          <w:sz w:val="22"/>
          <w:szCs w:val="22"/>
        </w:rPr>
        <w:t>para la ejecución de la obra: “Rehabilitación y Ampliación de la capacidad del albergue en el establecimiento penitenciario de Yurimaguas”; y atendiendo a los siguientes:</w:t>
      </w:r>
    </w:p>
    <w:p w:rsidR="00B6275A" w:rsidRPr="004929CB" w:rsidRDefault="00B6275A" w:rsidP="00B6275A">
      <w:pPr>
        <w:tabs>
          <w:tab w:val="left" w:pos="3544"/>
          <w:tab w:val="left" w:pos="7230"/>
          <w:tab w:val="left" w:pos="8505"/>
        </w:tabs>
        <w:rPr>
          <w:rFonts w:ascii="Tahoma" w:hAnsi="Tahoma" w:cs="Tahoma"/>
          <w:b/>
          <w:sz w:val="21"/>
          <w:szCs w:val="21"/>
        </w:rPr>
      </w:pPr>
    </w:p>
    <w:p w:rsidR="00B6275A" w:rsidRPr="004929CB" w:rsidRDefault="00B6275A" w:rsidP="00A20614">
      <w:pPr>
        <w:pStyle w:val="Prrafodelista"/>
        <w:tabs>
          <w:tab w:val="left" w:pos="3544"/>
          <w:tab w:val="left" w:pos="7230"/>
          <w:tab w:val="left" w:pos="8505"/>
        </w:tabs>
        <w:ind w:left="567"/>
        <w:jc w:val="both"/>
        <w:rPr>
          <w:rFonts w:ascii="Tahoma" w:hAnsi="Tahoma" w:cs="Tahoma"/>
          <w:b/>
          <w:shadow/>
          <w:sz w:val="21"/>
          <w:szCs w:val="21"/>
        </w:rPr>
      </w:pPr>
      <w:r w:rsidRPr="004929CB">
        <w:rPr>
          <w:rFonts w:ascii="Tahoma" w:hAnsi="Tahoma" w:cs="Tahoma"/>
          <w:b/>
          <w:shadow/>
          <w:sz w:val="21"/>
          <w:szCs w:val="21"/>
        </w:rPr>
        <w:t>ANTECEDENTES:</w:t>
      </w:r>
    </w:p>
    <w:p w:rsidR="00B6275A" w:rsidRPr="004929CB" w:rsidRDefault="00B6275A" w:rsidP="00B6275A">
      <w:pPr>
        <w:autoSpaceDE w:val="0"/>
        <w:autoSpaceDN w:val="0"/>
        <w:adjustRightInd w:val="0"/>
        <w:jc w:val="both"/>
        <w:rPr>
          <w:rFonts w:ascii="Tahoma" w:hAnsi="Tahoma" w:cs="Tahoma"/>
          <w:b/>
          <w:bCs/>
          <w:sz w:val="21"/>
          <w:szCs w:val="21"/>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El 15 de febrero de 2011, el Instituto Nacional Penitenciario, en  adelante la Entidad, convocó al proceso de selección Licitación Pública N.º 001 – 2011 – INPE-OIP,  para la </w:t>
      </w:r>
      <w:r>
        <w:rPr>
          <w:rFonts w:ascii="Tahoma" w:hAnsi="Tahoma" w:cs="Tahoma"/>
          <w:sz w:val="22"/>
          <w:szCs w:val="22"/>
        </w:rPr>
        <w:t>ejecución de la obra:</w:t>
      </w:r>
      <w:r w:rsidRPr="00794292">
        <w:rPr>
          <w:rFonts w:ascii="Tahoma" w:hAnsi="Tahoma" w:cs="Tahoma"/>
          <w:sz w:val="22"/>
          <w:szCs w:val="22"/>
        </w:rPr>
        <w:t xml:space="preserve"> “Rehabilitación y Ampliación de la capacidad del albergue en el establecimiento penitenciario de Yurimaguas”, con un valor referencial ascendente de S/. 5 762, 432.03 (Cinco millones setecientos sesenta y dos mil cuatrocientos treinta y dos con 03/100 Nuevos Soles)</w:t>
      </w:r>
    </w:p>
    <w:p w:rsidR="00B6275A" w:rsidRPr="00794292" w:rsidRDefault="00B6275A" w:rsidP="00B6275A">
      <w:pPr>
        <w:pStyle w:val="Prrafodelista"/>
        <w:ind w:left="0"/>
        <w:jc w:val="both"/>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El 23 de marzo de 2011, se realizó el acto de otorgamiento de la buena pro a favor del Consorcio Bajo Huallaga, integrado por las empresas Bricks y Concret Contratistas Generales SAC; Thor Contratistas SAC; </w:t>
      </w:r>
      <w:r>
        <w:rPr>
          <w:rFonts w:ascii="Tahoma" w:hAnsi="Tahoma" w:cs="Tahoma"/>
          <w:sz w:val="22"/>
          <w:szCs w:val="22"/>
        </w:rPr>
        <w:t xml:space="preserve">y </w:t>
      </w:r>
      <w:r w:rsidRPr="00794292">
        <w:rPr>
          <w:rFonts w:ascii="Tahoma" w:hAnsi="Tahoma" w:cs="Tahoma"/>
          <w:sz w:val="22"/>
          <w:szCs w:val="22"/>
        </w:rPr>
        <w:t>Grecia Contratistas Generales SRL,  en virtud al siguiente detalle:</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ind w:left="454"/>
        <w:jc w:val="both"/>
        <w:rPr>
          <w:rFonts w:ascii="Tahoma" w:hAnsi="Tahoma" w:cs="Tahoma"/>
          <w:sz w:val="22"/>
          <w:szCs w:val="22"/>
        </w:rPr>
      </w:pPr>
    </w:p>
    <w:tbl>
      <w:tblPr>
        <w:tblStyle w:val="Tablaconcuadrcula"/>
        <w:tblW w:w="0" w:type="auto"/>
        <w:tblInd w:w="959" w:type="dxa"/>
        <w:tblLook w:val="04A0"/>
      </w:tblPr>
      <w:tblGrid>
        <w:gridCol w:w="3656"/>
        <w:gridCol w:w="4105"/>
      </w:tblGrid>
      <w:tr w:rsidR="00B6275A" w:rsidRPr="00794292" w:rsidTr="005C4B97">
        <w:tc>
          <w:tcPr>
            <w:tcW w:w="3656" w:type="dxa"/>
          </w:tcPr>
          <w:p w:rsidR="00B6275A" w:rsidRPr="00794292" w:rsidRDefault="00B6275A" w:rsidP="005C4B97">
            <w:pPr>
              <w:pStyle w:val="Prrafodelista"/>
              <w:ind w:left="0"/>
              <w:jc w:val="center"/>
              <w:rPr>
                <w:rFonts w:ascii="Tahoma" w:hAnsi="Tahoma" w:cs="Tahoma"/>
                <w:b/>
              </w:rPr>
            </w:pPr>
            <w:r w:rsidRPr="00794292">
              <w:rPr>
                <w:rFonts w:ascii="Tahoma" w:hAnsi="Tahoma" w:cs="Tahoma"/>
                <w:b/>
              </w:rPr>
              <w:t>Postor</w:t>
            </w:r>
          </w:p>
        </w:tc>
        <w:tc>
          <w:tcPr>
            <w:tcW w:w="4105" w:type="dxa"/>
          </w:tcPr>
          <w:p w:rsidR="00B6275A" w:rsidRPr="00794292" w:rsidRDefault="00B6275A" w:rsidP="005C4B97">
            <w:pPr>
              <w:pStyle w:val="Prrafodelista"/>
              <w:ind w:left="0"/>
              <w:jc w:val="center"/>
              <w:rPr>
                <w:rFonts w:ascii="Tahoma" w:hAnsi="Tahoma" w:cs="Tahoma"/>
                <w:b/>
              </w:rPr>
            </w:pPr>
            <w:r w:rsidRPr="00794292">
              <w:rPr>
                <w:rFonts w:ascii="Tahoma" w:hAnsi="Tahoma" w:cs="Tahoma"/>
                <w:b/>
              </w:rPr>
              <w:t>Puntaje Total</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Paraíso</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96.917</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Bajo Huallaga</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100</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Rio Mayo</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Descalificado</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Yurimaguas I</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97.326</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Jáuregui</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Descalificado</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G Corporación</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Descalificado</w:t>
            </w:r>
          </w:p>
        </w:tc>
      </w:tr>
      <w:tr w:rsidR="00B6275A" w:rsidRPr="00794292" w:rsidTr="005C4B97">
        <w:tc>
          <w:tcPr>
            <w:tcW w:w="3656" w:type="dxa"/>
          </w:tcPr>
          <w:p w:rsidR="00B6275A" w:rsidRPr="00794292" w:rsidRDefault="00B6275A" w:rsidP="005C4B97">
            <w:pPr>
              <w:pStyle w:val="Prrafodelista"/>
              <w:ind w:left="0"/>
              <w:jc w:val="both"/>
              <w:rPr>
                <w:rFonts w:ascii="Tahoma" w:hAnsi="Tahoma" w:cs="Tahoma"/>
              </w:rPr>
            </w:pPr>
            <w:r w:rsidRPr="00794292">
              <w:rPr>
                <w:rFonts w:ascii="Tahoma" w:hAnsi="Tahoma" w:cs="Tahoma"/>
              </w:rPr>
              <w:t>Consorcio Porvenir</w:t>
            </w:r>
          </w:p>
        </w:tc>
        <w:tc>
          <w:tcPr>
            <w:tcW w:w="4105" w:type="dxa"/>
          </w:tcPr>
          <w:p w:rsidR="00B6275A" w:rsidRPr="00794292" w:rsidRDefault="00B6275A" w:rsidP="005C4B97">
            <w:pPr>
              <w:pStyle w:val="Prrafodelista"/>
              <w:ind w:left="0"/>
              <w:jc w:val="center"/>
              <w:rPr>
                <w:rFonts w:ascii="Tahoma" w:hAnsi="Tahoma" w:cs="Tahoma"/>
              </w:rPr>
            </w:pPr>
            <w:r w:rsidRPr="00794292">
              <w:rPr>
                <w:rFonts w:ascii="Tahoma" w:hAnsi="Tahoma" w:cs="Tahoma"/>
              </w:rPr>
              <w:t>Descalificado</w:t>
            </w:r>
          </w:p>
        </w:tc>
      </w:tr>
    </w:tbl>
    <w:p w:rsidR="00B6275A" w:rsidRPr="00794292" w:rsidRDefault="00B6275A" w:rsidP="00B6275A">
      <w:pPr>
        <w:pStyle w:val="Prrafodelista"/>
        <w:ind w:left="454"/>
        <w:jc w:val="both"/>
        <w:rPr>
          <w:rFonts w:ascii="Tahoma" w:hAnsi="Tahoma" w:cs="Tahoma"/>
          <w:sz w:val="22"/>
          <w:szCs w:val="22"/>
        </w:rPr>
      </w:pPr>
    </w:p>
    <w:p w:rsidR="00B6275A" w:rsidRPr="00794292" w:rsidRDefault="00B6275A" w:rsidP="00B6275A">
      <w:pPr>
        <w:jc w:val="both"/>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Mediante escrito de fecha 04 de abril de 2011</w:t>
      </w:r>
      <w:r>
        <w:rPr>
          <w:rFonts w:ascii="Tahoma" w:hAnsi="Tahoma" w:cs="Tahoma"/>
          <w:sz w:val="22"/>
          <w:szCs w:val="22"/>
        </w:rPr>
        <w:t>,</w:t>
      </w:r>
      <w:r w:rsidRPr="00794292">
        <w:rPr>
          <w:rFonts w:ascii="Tahoma" w:hAnsi="Tahoma" w:cs="Tahoma"/>
          <w:sz w:val="22"/>
          <w:szCs w:val="22"/>
        </w:rPr>
        <w:t xml:space="preserve"> el Consorcio Rio Mayo conformado por las empresas Math Construcción y Consultoría SAC; Ingeniería Corporativa Contratistas Generales SAC y HCB Contratistas Generales SRL,  presentó recurso de apelación contra su descalificación y el otorgamiento de la buena pro; en virtud a los siguientes argumentos:</w:t>
      </w:r>
    </w:p>
    <w:p w:rsidR="00B6275A" w:rsidRPr="00794292" w:rsidRDefault="00B6275A" w:rsidP="00B6275A">
      <w:pPr>
        <w:tabs>
          <w:tab w:val="left" w:pos="851"/>
          <w:tab w:val="left" w:pos="993"/>
          <w:tab w:val="left" w:pos="1276"/>
        </w:tabs>
        <w:ind w:right="425"/>
        <w:jc w:val="both"/>
        <w:rPr>
          <w:rFonts w:ascii="Tahoma" w:hAnsi="Tahoma" w:cs="Tahoma"/>
          <w:sz w:val="22"/>
          <w:szCs w:val="22"/>
        </w:rPr>
      </w:pPr>
    </w:p>
    <w:p w:rsidR="00B6275A" w:rsidRPr="00794292" w:rsidRDefault="00B6275A" w:rsidP="00B6275A">
      <w:pPr>
        <w:pStyle w:val="Prrafodelista"/>
        <w:numPr>
          <w:ilvl w:val="0"/>
          <w:numId w:val="12"/>
        </w:numPr>
        <w:tabs>
          <w:tab w:val="left" w:pos="851"/>
          <w:tab w:val="left" w:pos="993"/>
          <w:tab w:val="left" w:pos="1276"/>
        </w:tabs>
        <w:ind w:left="851" w:right="425" w:hanging="284"/>
        <w:jc w:val="both"/>
        <w:rPr>
          <w:rFonts w:ascii="Tahoma" w:hAnsi="Tahoma" w:cs="Tahoma"/>
          <w:sz w:val="22"/>
          <w:szCs w:val="22"/>
        </w:rPr>
      </w:pPr>
      <w:r w:rsidRPr="00794292">
        <w:rPr>
          <w:rFonts w:ascii="Tahoma" w:hAnsi="Tahoma" w:cs="Tahoma"/>
          <w:sz w:val="22"/>
          <w:szCs w:val="22"/>
        </w:rPr>
        <w:t xml:space="preserve">Respecto a la propuesta económica, </w:t>
      </w:r>
      <w:r>
        <w:rPr>
          <w:rFonts w:ascii="Tahoma" w:hAnsi="Tahoma" w:cs="Tahoma"/>
          <w:sz w:val="22"/>
          <w:szCs w:val="22"/>
        </w:rPr>
        <w:t xml:space="preserve">el Comité Especial </w:t>
      </w:r>
      <w:r w:rsidRPr="00794292">
        <w:rPr>
          <w:rFonts w:ascii="Tahoma" w:hAnsi="Tahoma" w:cs="Tahoma"/>
          <w:sz w:val="22"/>
          <w:szCs w:val="22"/>
        </w:rPr>
        <w:t xml:space="preserve">descalificó de manera incorrecta al consorcio, porque el monto ofertado estaría por debajo del límite del 90% </w:t>
      </w:r>
      <w:r>
        <w:rPr>
          <w:rFonts w:ascii="Tahoma" w:hAnsi="Tahoma" w:cs="Tahoma"/>
          <w:sz w:val="22"/>
          <w:szCs w:val="22"/>
        </w:rPr>
        <w:t xml:space="preserve">del valor referencial </w:t>
      </w:r>
      <w:r w:rsidRPr="00794292">
        <w:rPr>
          <w:rFonts w:ascii="Tahoma" w:hAnsi="Tahoma" w:cs="Tahoma"/>
          <w:sz w:val="22"/>
          <w:szCs w:val="22"/>
        </w:rPr>
        <w:t xml:space="preserve">establecido en las Bases, ello como consecuencia a que según el análisis llevado a cabo por </w:t>
      </w:r>
      <w:r>
        <w:rPr>
          <w:rFonts w:ascii="Tahoma" w:hAnsi="Tahoma" w:cs="Tahoma"/>
          <w:sz w:val="22"/>
          <w:szCs w:val="22"/>
        </w:rPr>
        <w:t>dicho</w:t>
      </w:r>
      <w:r w:rsidRPr="00794292">
        <w:rPr>
          <w:rFonts w:ascii="Tahoma" w:hAnsi="Tahoma" w:cs="Tahoma"/>
          <w:sz w:val="22"/>
          <w:szCs w:val="22"/>
        </w:rPr>
        <w:t xml:space="preserve"> Comité, a dicho Consorcio no le sería aplicable el beneficio de exoneración del IGV establecido en el artículo 13 de la Ley Nº 27037-Ley de Promoción de la Inversión en la Amazonia.</w:t>
      </w:r>
    </w:p>
    <w:p w:rsidR="00B6275A" w:rsidRPr="00794292" w:rsidRDefault="00B6275A" w:rsidP="00B6275A">
      <w:pPr>
        <w:pStyle w:val="Prrafodelista"/>
        <w:tabs>
          <w:tab w:val="left" w:pos="851"/>
          <w:tab w:val="left" w:pos="993"/>
          <w:tab w:val="left" w:pos="1276"/>
        </w:tabs>
        <w:ind w:left="0" w:right="425"/>
        <w:jc w:val="both"/>
        <w:rPr>
          <w:rFonts w:ascii="Tahoma" w:hAnsi="Tahoma" w:cs="Tahoma"/>
          <w:sz w:val="22"/>
          <w:szCs w:val="22"/>
        </w:rPr>
      </w:pPr>
    </w:p>
    <w:p w:rsidR="00B6275A" w:rsidRPr="00794292" w:rsidRDefault="00B6275A" w:rsidP="00B6275A">
      <w:pPr>
        <w:pStyle w:val="Prrafodelista"/>
        <w:numPr>
          <w:ilvl w:val="0"/>
          <w:numId w:val="11"/>
        </w:numPr>
        <w:jc w:val="both"/>
        <w:rPr>
          <w:rFonts w:ascii="Tahoma" w:eastAsia="MS Mincho" w:hAnsi="Tahoma" w:cs="Tahoma"/>
          <w:sz w:val="22"/>
          <w:szCs w:val="22"/>
        </w:rPr>
      </w:pPr>
      <w:r w:rsidRPr="00794292">
        <w:rPr>
          <w:rFonts w:ascii="Tahoma" w:hAnsi="Tahoma" w:cs="Tahoma"/>
          <w:sz w:val="22"/>
          <w:szCs w:val="22"/>
        </w:rPr>
        <w:t xml:space="preserve">Mediante Decreto de fecha 07 de abril de 2011, se admitió a trámite el recurso de apelación interpuesto,  y se corrió traslado a la Entidad a fin que cumpla con remitir en el plazo de tres (03) </w:t>
      </w:r>
      <w:r>
        <w:rPr>
          <w:rFonts w:ascii="Tahoma" w:hAnsi="Tahoma" w:cs="Tahoma"/>
          <w:sz w:val="22"/>
          <w:szCs w:val="22"/>
        </w:rPr>
        <w:t xml:space="preserve">días, </w:t>
      </w:r>
      <w:r w:rsidRPr="00794292">
        <w:rPr>
          <w:rFonts w:ascii="Tahoma" w:hAnsi="Tahoma" w:cs="Tahoma"/>
          <w:sz w:val="22"/>
          <w:szCs w:val="22"/>
        </w:rPr>
        <w:t>los antecedentes administrativos, debiendo notificar el recurso de apelación al postor ganador de la Buena Pro. Asimismo, se dejó</w:t>
      </w:r>
      <w:r>
        <w:rPr>
          <w:rFonts w:ascii="Tahoma" w:hAnsi="Tahoma" w:cs="Tahoma"/>
          <w:sz w:val="22"/>
          <w:szCs w:val="22"/>
        </w:rPr>
        <w:t xml:space="preserve"> a consideración de la S</w:t>
      </w:r>
      <w:r w:rsidRPr="00794292">
        <w:rPr>
          <w:rFonts w:ascii="Tahoma" w:hAnsi="Tahoma" w:cs="Tahoma"/>
          <w:sz w:val="22"/>
          <w:szCs w:val="22"/>
        </w:rPr>
        <w:t>ala la solicitud de uso de la palabra.</w:t>
      </w:r>
    </w:p>
    <w:p w:rsidR="00B6275A" w:rsidRPr="00794292" w:rsidRDefault="00B6275A" w:rsidP="00B6275A">
      <w:pPr>
        <w:pStyle w:val="Prrafodelista"/>
        <w:ind w:left="0"/>
        <w:jc w:val="both"/>
        <w:rPr>
          <w:rFonts w:ascii="Tahoma" w:eastAsia="MS Mincho" w:hAnsi="Tahoma" w:cs="Tahoma"/>
          <w:sz w:val="22"/>
          <w:szCs w:val="22"/>
        </w:rPr>
      </w:pPr>
    </w:p>
    <w:p w:rsidR="00B6275A" w:rsidRPr="00794292" w:rsidRDefault="00B6275A" w:rsidP="00B6275A">
      <w:pPr>
        <w:pStyle w:val="Prrafodelista"/>
        <w:numPr>
          <w:ilvl w:val="0"/>
          <w:numId w:val="11"/>
        </w:numPr>
        <w:jc w:val="both"/>
        <w:rPr>
          <w:rFonts w:ascii="Tahoma" w:eastAsia="MS Mincho" w:hAnsi="Tahoma" w:cs="Tahoma"/>
          <w:sz w:val="22"/>
          <w:szCs w:val="22"/>
        </w:rPr>
      </w:pPr>
      <w:r w:rsidRPr="00794292">
        <w:rPr>
          <w:rFonts w:ascii="Tahoma" w:eastAsia="MS Mincho" w:hAnsi="Tahoma" w:cs="Tahoma"/>
          <w:sz w:val="22"/>
          <w:szCs w:val="22"/>
        </w:rPr>
        <w:t>Mediante Oficio N.º 273-2011-INPE/11 de fecha 19 de abril de 2011, la Entidad remitió los antecedentes administrativos, y adjuntó el informe legal N.º 072-2011-INPE-11-AL en el que indicó que se descalificó al consorcio debido a que este no gozaba de los beneficios tributarios contemplados en la Ley 27037.</w:t>
      </w:r>
    </w:p>
    <w:p w:rsidR="00B6275A" w:rsidRPr="00794292" w:rsidRDefault="00B6275A" w:rsidP="00B6275A">
      <w:pPr>
        <w:pStyle w:val="Prrafodelista"/>
        <w:rPr>
          <w:rFonts w:ascii="Tahoma" w:eastAsia="MS Mincho"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Mediante decreto de fecha 20 de abril de 2011,  se dispuso remitir el expediente a la Primera Sala del Tribunal a fin que emita pronunciamiento.</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20 de abril de 2011, el Consorcio Bajo Huallaga se apersonó como tercero administrado, señalando que el Consorcio Rio Mayo no gozaba del beneficio de exoneración tributaria pues no acreditó de manera fehaciente tener la calidad de contribuyente en la Amazonia, por lo tanto no estaba exonerado del pago del IGV y que a la fecha de presentación de su Propuesta sólo estaba consignado en Información General del Contribuyente como domicilio fiscal pendiente hasta el 29 de marzo de 2011, por lo tanto al 23 de marzo de 2011, fecha de presentación de Propuestas no estaba exonerado del pago del IGV.</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ind w:left="454"/>
        <w:jc w:val="both"/>
        <w:rPr>
          <w:rFonts w:ascii="Tahoma" w:hAnsi="Tahoma" w:cs="Tahoma"/>
          <w:sz w:val="22"/>
          <w:szCs w:val="22"/>
        </w:rPr>
      </w:pPr>
      <w:r w:rsidRPr="00794292">
        <w:rPr>
          <w:rFonts w:ascii="Tahoma" w:hAnsi="Tahoma" w:cs="Tahoma"/>
          <w:sz w:val="22"/>
          <w:szCs w:val="22"/>
        </w:rPr>
        <w:t>De otro lado, señala que e</w:t>
      </w:r>
      <w:r>
        <w:rPr>
          <w:rFonts w:ascii="Tahoma" w:hAnsi="Tahoma" w:cs="Tahoma"/>
          <w:sz w:val="22"/>
          <w:szCs w:val="22"/>
        </w:rPr>
        <w:t>l Consorcio Rio Mayo no acreditó</w:t>
      </w:r>
      <w:r w:rsidRPr="00794292">
        <w:rPr>
          <w:rFonts w:ascii="Tahoma" w:hAnsi="Tahoma" w:cs="Tahoma"/>
          <w:sz w:val="22"/>
          <w:szCs w:val="22"/>
        </w:rPr>
        <w:t xml:space="preserve"> que el 70% de sus activos se encuentran en la Amazonia.</w:t>
      </w:r>
    </w:p>
    <w:p w:rsidR="00B6275A" w:rsidRPr="00794292" w:rsidRDefault="00B6275A" w:rsidP="00B6275A">
      <w:pPr>
        <w:pStyle w:val="Prrafodelista"/>
        <w:ind w:left="0"/>
        <w:jc w:val="both"/>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El 26 de abril de 2011, el tercero administrado amplia sus fundamentos respecto a la solicitud de tener por no presentado el recurso de apelación interpuesto por el Consorcio Rio Mayo teniendo en cuenta que la abogada patrocinante, quien firma </w:t>
      </w:r>
      <w:r w:rsidRPr="00794292">
        <w:rPr>
          <w:rFonts w:ascii="Tahoma" w:hAnsi="Tahoma" w:cs="Tahoma"/>
          <w:sz w:val="22"/>
          <w:szCs w:val="22"/>
        </w:rPr>
        <w:lastRenderedPageBreak/>
        <w:t>el escrito de apelación, no está habilitada por el Colegio de Abogados de Lima al no encontrarse activa.</w:t>
      </w:r>
    </w:p>
    <w:p w:rsidR="00B6275A" w:rsidRPr="00794292" w:rsidRDefault="00B6275A" w:rsidP="00B6275A">
      <w:pPr>
        <w:jc w:val="both"/>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28 de abril de 2011</w:t>
      </w:r>
      <w:r>
        <w:rPr>
          <w:rFonts w:ascii="Tahoma" w:hAnsi="Tahoma" w:cs="Tahoma"/>
          <w:sz w:val="22"/>
          <w:szCs w:val="22"/>
        </w:rPr>
        <w:t>,</w:t>
      </w:r>
      <w:r w:rsidRPr="00794292">
        <w:rPr>
          <w:rFonts w:ascii="Tahoma" w:hAnsi="Tahoma" w:cs="Tahoma"/>
          <w:sz w:val="22"/>
          <w:szCs w:val="22"/>
        </w:rPr>
        <w:t xml:space="preserve"> el postor Impugnante reiteró los argumentos de su recurso de apelación. Asimismo indicó que la condición de inactivo o inhábil por parte del abogado en cuanto a la presentación del recu</w:t>
      </w:r>
      <w:r>
        <w:rPr>
          <w:rFonts w:ascii="Tahoma" w:hAnsi="Tahoma" w:cs="Tahoma"/>
          <w:sz w:val="22"/>
          <w:szCs w:val="22"/>
        </w:rPr>
        <w:t>r</w:t>
      </w:r>
      <w:r w:rsidRPr="00794292">
        <w:rPr>
          <w:rFonts w:ascii="Tahoma" w:hAnsi="Tahoma" w:cs="Tahoma"/>
          <w:sz w:val="22"/>
          <w:szCs w:val="22"/>
        </w:rPr>
        <w:t>so es un aspecto formal que puede ser subsanado durante la tramitación del procedimiento, pues de lo contrario se causaría indefensión en la parte, privilegiándose formalismos que bien pueden ser materia de enmienda.</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06 de mayo de 2011, el tercero administrado reiteró los argumentos de su comunicación previa.</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10 de mayo de 2011</w:t>
      </w:r>
      <w:r>
        <w:rPr>
          <w:rFonts w:ascii="Tahoma" w:hAnsi="Tahoma" w:cs="Tahoma"/>
          <w:sz w:val="22"/>
          <w:szCs w:val="22"/>
        </w:rPr>
        <w:t>,</w:t>
      </w:r>
      <w:r w:rsidRPr="00794292">
        <w:rPr>
          <w:rFonts w:ascii="Tahoma" w:hAnsi="Tahoma" w:cs="Tahoma"/>
          <w:sz w:val="22"/>
          <w:szCs w:val="22"/>
        </w:rPr>
        <w:t xml:space="preserve"> el Consorcio Rio Mayo mediante escrito dirigido al Tribunal</w:t>
      </w:r>
      <w:r>
        <w:rPr>
          <w:rFonts w:ascii="Tahoma" w:hAnsi="Tahoma" w:cs="Tahoma"/>
          <w:sz w:val="22"/>
          <w:szCs w:val="22"/>
        </w:rPr>
        <w:t>,</w:t>
      </w:r>
      <w:r w:rsidRPr="00794292">
        <w:rPr>
          <w:rFonts w:ascii="Tahoma" w:hAnsi="Tahoma" w:cs="Tahoma"/>
          <w:sz w:val="22"/>
          <w:szCs w:val="22"/>
        </w:rPr>
        <w:t xml:space="preserve"> autoriza a</w:t>
      </w:r>
      <w:r>
        <w:rPr>
          <w:rFonts w:ascii="Tahoma" w:hAnsi="Tahoma" w:cs="Tahoma"/>
          <w:sz w:val="22"/>
          <w:szCs w:val="22"/>
        </w:rPr>
        <w:t>l señor</w:t>
      </w:r>
      <w:r w:rsidRPr="00794292">
        <w:rPr>
          <w:rFonts w:ascii="Tahoma" w:hAnsi="Tahoma" w:cs="Tahoma"/>
          <w:sz w:val="22"/>
          <w:szCs w:val="22"/>
        </w:rPr>
        <w:t xml:space="preserve"> Marco Antonio Martínez Zamora a fin que asista a la audiencia pública y realizar el informe técnico y/o legal correspondiente a su parte.</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10 de mayo de 2011</w:t>
      </w:r>
      <w:r>
        <w:rPr>
          <w:rFonts w:ascii="Tahoma" w:hAnsi="Tahoma" w:cs="Tahoma"/>
          <w:sz w:val="22"/>
          <w:szCs w:val="22"/>
        </w:rPr>
        <w:t>,</w:t>
      </w:r>
      <w:r w:rsidRPr="00794292">
        <w:rPr>
          <w:rFonts w:ascii="Tahoma" w:hAnsi="Tahoma" w:cs="Tahoma"/>
          <w:sz w:val="22"/>
          <w:szCs w:val="22"/>
        </w:rPr>
        <w:t xml:space="preserve"> el </w:t>
      </w:r>
      <w:r>
        <w:rPr>
          <w:rFonts w:ascii="Tahoma" w:hAnsi="Tahoma" w:cs="Tahoma"/>
          <w:sz w:val="22"/>
          <w:szCs w:val="22"/>
        </w:rPr>
        <w:t>Consorcio Bajo Huallaga presentó un</w:t>
      </w:r>
      <w:r w:rsidRPr="00794292">
        <w:rPr>
          <w:rFonts w:ascii="Tahoma" w:hAnsi="Tahoma" w:cs="Tahoma"/>
          <w:sz w:val="22"/>
          <w:szCs w:val="22"/>
        </w:rPr>
        <w:t xml:space="preserve"> escrito al Tribunal señalando que el Consorcio Rio Mayo no cumplió con los requisitos técnicos mínimos requeridos en las Bases Integradas</w:t>
      </w:r>
      <w:r>
        <w:rPr>
          <w:rFonts w:ascii="Tahoma" w:hAnsi="Tahoma" w:cs="Tahoma"/>
          <w:sz w:val="22"/>
          <w:szCs w:val="22"/>
        </w:rPr>
        <w:t>,</w:t>
      </w:r>
      <w:r w:rsidRPr="00794292">
        <w:rPr>
          <w:rFonts w:ascii="Tahoma" w:hAnsi="Tahoma" w:cs="Tahoma"/>
          <w:sz w:val="22"/>
          <w:szCs w:val="22"/>
        </w:rPr>
        <w:t xml:space="preserve"> señalando que el Consorcio Rio Mayo habría </w:t>
      </w:r>
      <w:r>
        <w:rPr>
          <w:rFonts w:ascii="Tahoma" w:hAnsi="Tahoma" w:cs="Tahoma"/>
          <w:sz w:val="22"/>
          <w:szCs w:val="22"/>
        </w:rPr>
        <w:t>proporcionado</w:t>
      </w:r>
      <w:r w:rsidRPr="00794292">
        <w:rPr>
          <w:rFonts w:ascii="Tahoma" w:hAnsi="Tahoma" w:cs="Tahoma"/>
          <w:sz w:val="22"/>
          <w:szCs w:val="22"/>
        </w:rPr>
        <w:t xml:space="preserve"> información inexacta dentro de su Propuesta Técnica </w:t>
      </w:r>
      <w:r>
        <w:rPr>
          <w:rFonts w:ascii="Tahoma" w:hAnsi="Tahoma" w:cs="Tahoma"/>
          <w:sz w:val="22"/>
          <w:szCs w:val="22"/>
        </w:rPr>
        <w:t>y</w:t>
      </w:r>
      <w:r w:rsidRPr="00794292">
        <w:rPr>
          <w:rFonts w:ascii="Tahoma" w:hAnsi="Tahoma" w:cs="Tahoma"/>
          <w:sz w:val="22"/>
          <w:szCs w:val="22"/>
        </w:rPr>
        <w:t xml:space="preserve"> que en relación a los documentos presentados a fin de acreditar su experiencia en la actividad </w:t>
      </w:r>
      <w:r>
        <w:rPr>
          <w:rFonts w:ascii="Tahoma" w:hAnsi="Tahoma" w:cs="Tahoma"/>
          <w:sz w:val="22"/>
          <w:szCs w:val="22"/>
        </w:rPr>
        <w:t>mediante Certificados y Constancias del asistente de obra y del residente de obra propuestos</w:t>
      </w:r>
      <w:r w:rsidRPr="00794292">
        <w:rPr>
          <w:rFonts w:ascii="Tahoma" w:hAnsi="Tahoma" w:cs="Tahoma"/>
          <w:sz w:val="22"/>
          <w:szCs w:val="22"/>
        </w:rPr>
        <w:t xml:space="preserve"> no habría congruencia entre el plazo </w:t>
      </w:r>
      <w:r>
        <w:rPr>
          <w:rFonts w:ascii="Tahoma" w:hAnsi="Tahoma" w:cs="Tahoma"/>
          <w:sz w:val="22"/>
          <w:szCs w:val="22"/>
        </w:rPr>
        <w:t>de prestación del servicio ahí consignados</w:t>
      </w:r>
      <w:r w:rsidRPr="00794292">
        <w:rPr>
          <w:rFonts w:ascii="Tahoma" w:hAnsi="Tahoma" w:cs="Tahoma"/>
          <w:sz w:val="22"/>
          <w:szCs w:val="22"/>
        </w:rPr>
        <w:t xml:space="preserve"> y </w:t>
      </w:r>
      <w:r>
        <w:rPr>
          <w:rFonts w:ascii="Tahoma" w:hAnsi="Tahoma" w:cs="Tahoma"/>
          <w:sz w:val="22"/>
          <w:szCs w:val="22"/>
        </w:rPr>
        <w:t>el plazo de ejecución de las obras estipuladas en los contratos que los respaldan</w:t>
      </w:r>
      <w:r w:rsidRPr="00794292">
        <w:rPr>
          <w:rFonts w:ascii="Tahoma" w:hAnsi="Tahoma" w:cs="Tahoma"/>
          <w:sz w:val="22"/>
          <w:szCs w:val="22"/>
        </w:rPr>
        <w:t>.</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El 11 de mayo de 2011, el </w:t>
      </w:r>
      <w:r>
        <w:rPr>
          <w:rFonts w:ascii="Tahoma" w:hAnsi="Tahoma" w:cs="Tahoma"/>
          <w:sz w:val="22"/>
          <w:szCs w:val="22"/>
        </w:rPr>
        <w:t>Consorcio Bajo Huallaga solicitó</w:t>
      </w:r>
      <w:r w:rsidRPr="00794292">
        <w:rPr>
          <w:rFonts w:ascii="Tahoma" w:hAnsi="Tahoma" w:cs="Tahoma"/>
          <w:sz w:val="22"/>
          <w:szCs w:val="22"/>
        </w:rPr>
        <w:t xml:space="preserve"> la descalificación del postor señalando que presentó información falsa y/o inexacta para acreditar la experiencia del residente de obra propuesto, puesto que señaló en su propuesta técnica</w:t>
      </w:r>
      <w:r>
        <w:rPr>
          <w:rFonts w:ascii="Tahoma" w:hAnsi="Tahoma" w:cs="Tahoma"/>
          <w:sz w:val="22"/>
          <w:szCs w:val="22"/>
        </w:rPr>
        <w:t xml:space="preserve"> que éste trabajó</w:t>
      </w:r>
      <w:r w:rsidRPr="00794292">
        <w:rPr>
          <w:rFonts w:ascii="Tahoma" w:hAnsi="Tahoma" w:cs="Tahoma"/>
          <w:sz w:val="22"/>
          <w:szCs w:val="22"/>
        </w:rPr>
        <w:t xml:space="preserve"> en </w:t>
      </w:r>
      <w:r>
        <w:rPr>
          <w:rFonts w:ascii="Tahoma" w:hAnsi="Tahoma" w:cs="Tahoma"/>
          <w:sz w:val="22"/>
          <w:szCs w:val="22"/>
        </w:rPr>
        <w:t>la Obra “Construcción de 57 Viviendas en el centro de producción Mantaro”</w:t>
      </w:r>
      <w:r w:rsidRPr="00794292">
        <w:rPr>
          <w:rFonts w:ascii="Tahoma" w:hAnsi="Tahoma" w:cs="Tahoma"/>
          <w:sz w:val="22"/>
          <w:szCs w:val="22"/>
        </w:rPr>
        <w:t xml:space="preserve"> de</w:t>
      </w:r>
      <w:r>
        <w:rPr>
          <w:rFonts w:ascii="Tahoma" w:hAnsi="Tahoma" w:cs="Tahoma"/>
          <w:sz w:val="22"/>
          <w:szCs w:val="22"/>
        </w:rPr>
        <w:t>sde el 26/02/2007 al 30/12/2008; sin embargo,</w:t>
      </w:r>
      <w:r w:rsidRPr="00794292">
        <w:rPr>
          <w:rFonts w:ascii="Tahoma" w:hAnsi="Tahoma" w:cs="Tahoma"/>
          <w:sz w:val="22"/>
          <w:szCs w:val="22"/>
        </w:rPr>
        <w:t xml:space="preserve"> según la Carta</w:t>
      </w:r>
      <w:r>
        <w:rPr>
          <w:rFonts w:ascii="Tahoma" w:hAnsi="Tahoma" w:cs="Tahoma"/>
          <w:sz w:val="22"/>
          <w:szCs w:val="22"/>
        </w:rPr>
        <w:t xml:space="preserve"> Nº R-0248-2011</w:t>
      </w:r>
      <w:r w:rsidRPr="00794292">
        <w:rPr>
          <w:rFonts w:ascii="Tahoma" w:hAnsi="Tahoma" w:cs="Tahoma"/>
          <w:sz w:val="22"/>
          <w:szCs w:val="22"/>
        </w:rPr>
        <w:t xml:space="preserve"> emitida por </w:t>
      </w:r>
      <w:r>
        <w:rPr>
          <w:rFonts w:ascii="Tahoma" w:hAnsi="Tahoma" w:cs="Tahoma"/>
          <w:sz w:val="22"/>
          <w:szCs w:val="22"/>
        </w:rPr>
        <w:t>el Subgerente de Planificación y Control</w:t>
      </w:r>
      <w:r w:rsidRPr="00794292">
        <w:rPr>
          <w:rFonts w:ascii="Tahoma" w:hAnsi="Tahoma" w:cs="Tahoma"/>
          <w:sz w:val="22"/>
          <w:szCs w:val="22"/>
        </w:rPr>
        <w:t xml:space="preserve"> </w:t>
      </w:r>
      <w:r>
        <w:rPr>
          <w:rFonts w:ascii="Tahoma" w:hAnsi="Tahoma" w:cs="Tahoma"/>
          <w:sz w:val="22"/>
          <w:szCs w:val="22"/>
        </w:rPr>
        <w:t>de Electroperu y dirigida al Gerente de Proyectos de la misma entidad,  el ingeniero residente de obra propuesto por el Impugnante trabajó</w:t>
      </w:r>
      <w:r w:rsidRPr="00794292">
        <w:rPr>
          <w:rFonts w:ascii="Tahoma" w:hAnsi="Tahoma" w:cs="Tahoma"/>
          <w:sz w:val="22"/>
          <w:szCs w:val="22"/>
        </w:rPr>
        <w:t xml:space="preserve"> desde el 22.06.2007 al 02.03.2009.</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12 de mayo de 2011</w:t>
      </w:r>
      <w:r>
        <w:rPr>
          <w:rFonts w:ascii="Tahoma" w:hAnsi="Tahoma" w:cs="Tahoma"/>
          <w:sz w:val="22"/>
          <w:szCs w:val="22"/>
        </w:rPr>
        <w:t>,</w:t>
      </w:r>
      <w:r w:rsidRPr="00794292">
        <w:rPr>
          <w:rFonts w:ascii="Tahoma" w:hAnsi="Tahoma" w:cs="Tahoma"/>
          <w:sz w:val="22"/>
          <w:szCs w:val="22"/>
        </w:rPr>
        <w:t xml:space="preserve"> se llevó a cabo la audiencia pública, con asistencia de ambas partes. La Entidad no se apersonó pese a haber sido debidamente notificada el 29.04.2011.</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12 de mayo de 2011</w:t>
      </w:r>
      <w:r>
        <w:rPr>
          <w:rFonts w:ascii="Tahoma" w:hAnsi="Tahoma" w:cs="Tahoma"/>
          <w:sz w:val="22"/>
          <w:szCs w:val="22"/>
        </w:rPr>
        <w:t>, el Consorcio Rio Mayo presentó</w:t>
      </w:r>
      <w:r w:rsidRPr="00794292">
        <w:rPr>
          <w:rFonts w:ascii="Tahoma" w:hAnsi="Tahoma" w:cs="Tahoma"/>
          <w:sz w:val="22"/>
          <w:szCs w:val="22"/>
        </w:rPr>
        <w:t xml:space="preserve"> un escrito ratificándose en </w:t>
      </w:r>
      <w:r>
        <w:rPr>
          <w:rFonts w:ascii="Tahoma" w:hAnsi="Tahoma" w:cs="Tahoma"/>
          <w:sz w:val="22"/>
          <w:szCs w:val="22"/>
        </w:rPr>
        <w:t xml:space="preserve">el hecho </w:t>
      </w:r>
      <w:r w:rsidRPr="00794292">
        <w:rPr>
          <w:rFonts w:ascii="Tahoma" w:hAnsi="Tahoma" w:cs="Tahoma"/>
          <w:sz w:val="22"/>
          <w:szCs w:val="22"/>
        </w:rPr>
        <w:t>que goza de la exoneración tributaria señalando que es arbitraria e injustificada la descalificación</w:t>
      </w:r>
      <w:r>
        <w:rPr>
          <w:rFonts w:ascii="Tahoma" w:hAnsi="Tahoma" w:cs="Tahoma"/>
          <w:sz w:val="22"/>
          <w:szCs w:val="22"/>
        </w:rPr>
        <w:t xml:space="preserve"> de su representada y solicita</w:t>
      </w:r>
      <w:r w:rsidRPr="00794292">
        <w:rPr>
          <w:rFonts w:ascii="Tahoma" w:hAnsi="Tahoma" w:cs="Tahoma"/>
          <w:sz w:val="22"/>
          <w:szCs w:val="22"/>
        </w:rPr>
        <w:t xml:space="preserve"> se deje sin efecto la </w:t>
      </w:r>
      <w:r w:rsidRPr="00794292">
        <w:rPr>
          <w:rFonts w:ascii="Tahoma" w:hAnsi="Tahoma" w:cs="Tahoma"/>
          <w:sz w:val="22"/>
          <w:szCs w:val="22"/>
        </w:rPr>
        <w:lastRenderedPageBreak/>
        <w:t>buena pro adjudicada al Consorcio bajo Huallaga, y se les reincorpore al proceso de selección referido, retrotrayéndose el mismo a la etapa de apertura del segundo sobre (propuesta económica).</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16 de mayo de 2011</w:t>
      </w:r>
      <w:r>
        <w:rPr>
          <w:rFonts w:ascii="Tahoma" w:hAnsi="Tahoma" w:cs="Tahoma"/>
          <w:sz w:val="22"/>
          <w:szCs w:val="22"/>
        </w:rPr>
        <w:t>, el Consorcio Rio Mayo presentó</w:t>
      </w:r>
      <w:r w:rsidRPr="00794292">
        <w:rPr>
          <w:rFonts w:ascii="Tahoma" w:hAnsi="Tahoma" w:cs="Tahoma"/>
          <w:sz w:val="22"/>
          <w:szCs w:val="22"/>
        </w:rPr>
        <w:t xml:space="preserve"> un escrito ratificándose </w:t>
      </w:r>
      <w:r>
        <w:rPr>
          <w:rFonts w:ascii="Tahoma" w:hAnsi="Tahoma" w:cs="Tahoma"/>
          <w:sz w:val="22"/>
          <w:szCs w:val="22"/>
        </w:rPr>
        <w:t xml:space="preserve">en </w:t>
      </w:r>
      <w:r w:rsidRPr="00794292">
        <w:rPr>
          <w:rFonts w:ascii="Tahoma" w:hAnsi="Tahoma" w:cs="Tahoma"/>
          <w:sz w:val="22"/>
          <w:szCs w:val="22"/>
        </w:rPr>
        <w:t>todo el contenido de su escrito del 12 de mayo anterior</w:t>
      </w:r>
      <w:r>
        <w:rPr>
          <w:rFonts w:ascii="Tahoma" w:hAnsi="Tahoma" w:cs="Tahoma"/>
          <w:sz w:val="22"/>
          <w:szCs w:val="22"/>
        </w:rPr>
        <w:t>, asimismo, señaló</w:t>
      </w:r>
      <w:r w:rsidRPr="00794292">
        <w:rPr>
          <w:rFonts w:ascii="Tahoma" w:hAnsi="Tahoma" w:cs="Tahoma"/>
          <w:sz w:val="22"/>
          <w:szCs w:val="22"/>
        </w:rPr>
        <w:t xml:space="preserve"> con referencia al contrato del INFES </w:t>
      </w:r>
      <w:r>
        <w:rPr>
          <w:rFonts w:ascii="Tahoma" w:hAnsi="Tahoma" w:cs="Tahoma"/>
          <w:sz w:val="22"/>
          <w:szCs w:val="22"/>
        </w:rPr>
        <w:t xml:space="preserve">para la Obra “IE José Carlos Mariátegui” </w:t>
      </w:r>
      <w:r w:rsidRPr="00794292">
        <w:rPr>
          <w:rFonts w:ascii="Tahoma" w:hAnsi="Tahoma" w:cs="Tahoma"/>
          <w:sz w:val="22"/>
          <w:szCs w:val="22"/>
        </w:rPr>
        <w:t>para acreditar la experiencia de su ingeniero residente de obra</w:t>
      </w:r>
      <w:r>
        <w:rPr>
          <w:rFonts w:ascii="Tahoma" w:hAnsi="Tahoma" w:cs="Tahoma"/>
          <w:sz w:val="22"/>
          <w:szCs w:val="22"/>
        </w:rPr>
        <w:t>,</w:t>
      </w:r>
      <w:r w:rsidRPr="00794292">
        <w:rPr>
          <w:rFonts w:ascii="Tahoma" w:hAnsi="Tahoma" w:cs="Tahoma"/>
          <w:sz w:val="22"/>
          <w:szCs w:val="22"/>
        </w:rPr>
        <w:t xml:space="preserve"> que lo consignado en su propuesta es cierto, y que el ingeniero Cumpa</w:t>
      </w:r>
      <w:r>
        <w:rPr>
          <w:rFonts w:ascii="Tahoma" w:hAnsi="Tahoma" w:cs="Tahoma"/>
          <w:sz w:val="22"/>
          <w:szCs w:val="22"/>
        </w:rPr>
        <w:t>, señalado por el Tercero Administrado como el residente de la obra,</w:t>
      </w:r>
      <w:r w:rsidRPr="00794292">
        <w:rPr>
          <w:rFonts w:ascii="Tahoma" w:hAnsi="Tahoma" w:cs="Tahoma"/>
          <w:sz w:val="22"/>
          <w:szCs w:val="22"/>
        </w:rPr>
        <w:t xml:space="preserve"> fue reemplazado por el ingeniero Jayo propuesto.</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De otro lado, sobre las obras del C.E. 5007-Acos-Cusco, la Construcción Residencial Multifamiliar Costa Castaña, la Construcción de 57 viviendas en el Centro de Producción Mantaro, y el Mejoramiento de los Servicios de Administración de Justicia de la Corte Superior de Justicia de Apurímac,  para acreditar la experiencia del residente, así como las obras que acreditan la experiencia del asistente de obra propuesto, señala que los argumentos vertidos por el consorcio Bajo Huallaga carecen de todo fundamento y </w:t>
      </w:r>
      <w:r>
        <w:rPr>
          <w:rFonts w:ascii="Tahoma" w:hAnsi="Tahoma" w:cs="Tahoma"/>
          <w:sz w:val="22"/>
          <w:szCs w:val="22"/>
        </w:rPr>
        <w:t xml:space="preserve">se </w:t>
      </w:r>
      <w:r w:rsidRPr="00794292">
        <w:rPr>
          <w:rFonts w:ascii="Tahoma" w:hAnsi="Tahoma" w:cs="Tahoma"/>
          <w:sz w:val="22"/>
          <w:szCs w:val="22"/>
        </w:rPr>
        <w:t xml:space="preserve">ratifica </w:t>
      </w:r>
      <w:r>
        <w:rPr>
          <w:rFonts w:ascii="Tahoma" w:hAnsi="Tahoma" w:cs="Tahoma"/>
          <w:sz w:val="22"/>
          <w:szCs w:val="22"/>
        </w:rPr>
        <w:t xml:space="preserve">en </w:t>
      </w:r>
      <w:r w:rsidRPr="00794292">
        <w:rPr>
          <w:rFonts w:ascii="Tahoma" w:hAnsi="Tahoma" w:cs="Tahoma"/>
          <w:sz w:val="22"/>
          <w:szCs w:val="22"/>
        </w:rPr>
        <w:t>que cumple con el RTM de los 5 años solicitado por las Bases</w:t>
      </w:r>
      <w:r>
        <w:rPr>
          <w:rFonts w:ascii="Tahoma" w:hAnsi="Tahoma" w:cs="Tahoma"/>
          <w:sz w:val="22"/>
          <w:szCs w:val="22"/>
        </w:rPr>
        <w:t xml:space="preserve"> para el residente así como los 3 años solicitados para el asistente de obra</w:t>
      </w:r>
      <w:r w:rsidRPr="00794292">
        <w:rPr>
          <w:rFonts w:ascii="Tahoma" w:hAnsi="Tahoma" w:cs="Tahoma"/>
          <w:sz w:val="22"/>
          <w:szCs w:val="22"/>
        </w:rPr>
        <w:t xml:space="preserve">. </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El 17 de mayo de 2011, el Consorcio Bajo Huallaga </w:t>
      </w:r>
      <w:r>
        <w:rPr>
          <w:rFonts w:ascii="Tahoma" w:hAnsi="Tahoma" w:cs="Tahoma"/>
          <w:sz w:val="22"/>
          <w:szCs w:val="22"/>
        </w:rPr>
        <w:t>remitió</w:t>
      </w:r>
      <w:r w:rsidRPr="00794292">
        <w:rPr>
          <w:rFonts w:ascii="Tahoma" w:hAnsi="Tahoma" w:cs="Tahoma"/>
          <w:sz w:val="22"/>
          <w:szCs w:val="22"/>
        </w:rPr>
        <w:t xml:space="preserve"> a este Tribunal un escrito incidiendo en sus argumentos vertidos en sus comunicaciones anteriores.</w:t>
      </w:r>
    </w:p>
    <w:p w:rsidR="00B6275A" w:rsidRPr="00794292" w:rsidRDefault="00B6275A" w:rsidP="00B6275A">
      <w:pPr>
        <w:pStyle w:val="Prrafodelista"/>
        <w:rPr>
          <w:rFonts w:ascii="Tahoma" w:hAnsi="Tahoma" w:cs="Tahoma"/>
          <w:sz w:val="22"/>
          <w:szCs w:val="22"/>
        </w:rPr>
      </w:pPr>
    </w:p>
    <w:p w:rsidR="00B6275A"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20 de mayo de 2011</w:t>
      </w:r>
      <w:r>
        <w:rPr>
          <w:rFonts w:ascii="Tahoma" w:hAnsi="Tahoma" w:cs="Tahoma"/>
          <w:sz w:val="22"/>
          <w:szCs w:val="22"/>
        </w:rPr>
        <w:t>, el Consorcio Rio Mayo reafirmó</w:t>
      </w:r>
      <w:r w:rsidRPr="00794292">
        <w:rPr>
          <w:rFonts w:ascii="Tahoma" w:hAnsi="Tahoma" w:cs="Tahoma"/>
          <w:sz w:val="22"/>
          <w:szCs w:val="22"/>
        </w:rPr>
        <w:t xml:space="preserve"> sus declaraciones previamente desarrolladas y señala además que su propuesta tiene rango de declaración jurada y como tal su veracidad no ha sido desvirtuada.</w:t>
      </w:r>
    </w:p>
    <w:p w:rsidR="00B6275A" w:rsidRPr="006C3B0A"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Pr>
          <w:rFonts w:ascii="Tahoma" w:hAnsi="Tahoma" w:cs="Tahoma"/>
          <w:sz w:val="22"/>
          <w:szCs w:val="22"/>
        </w:rPr>
        <w:t>Mediante decreto de fecha 20 de mayo de 2011, el Tribunal dejó sin efecto el decreto de fecha 13 de mayo de 2011 que declaraba el expediente como listo para resolver y solicitó información adicional a la Entidad y al INFES, respecto de los documentos cuestionados.</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23 de mayo de 2011</w:t>
      </w:r>
      <w:r>
        <w:rPr>
          <w:rFonts w:ascii="Tahoma" w:hAnsi="Tahoma" w:cs="Tahoma"/>
          <w:sz w:val="22"/>
          <w:szCs w:val="22"/>
        </w:rPr>
        <w:t>, el Consorcio Rio Mayo, adjuntó</w:t>
      </w:r>
      <w:r w:rsidRPr="00794292">
        <w:rPr>
          <w:rFonts w:ascii="Tahoma" w:hAnsi="Tahoma" w:cs="Tahoma"/>
          <w:sz w:val="22"/>
          <w:szCs w:val="22"/>
        </w:rPr>
        <w:t xml:space="preserve"> plano de ubicación descriptiva y plano de elevación A-08 donde se aprecia que la obra referida al multifamiliar Costa Castaña cuenta con 6 niveles</w:t>
      </w:r>
      <w:r>
        <w:rPr>
          <w:rFonts w:ascii="Tahoma" w:hAnsi="Tahoma" w:cs="Tahoma"/>
          <w:sz w:val="22"/>
          <w:szCs w:val="22"/>
        </w:rPr>
        <w:t>, asimismo, remitió</w:t>
      </w:r>
      <w:r w:rsidRPr="00794292">
        <w:rPr>
          <w:rFonts w:ascii="Tahoma" w:hAnsi="Tahoma" w:cs="Tahoma"/>
          <w:sz w:val="22"/>
          <w:szCs w:val="22"/>
        </w:rPr>
        <w:t xml:space="preserve"> la Resolución de Gerencia General Nº 185-2006-INFES-VIVIENDA donde se especifica que el ingeniero residente para dicha obra fue el ingeniero Jorge Luis Caro Jayo desde el 21.06.2006.</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25 de mayo de 2011, el Consorcio Rio Mayo</w:t>
      </w:r>
      <w:r>
        <w:rPr>
          <w:rFonts w:ascii="Tahoma" w:hAnsi="Tahoma" w:cs="Tahoma"/>
          <w:sz w:val="22"/>
          <w:szCs w:val="22"/>
        </w:rPr>
        <w:t>, reiteró</w:t>
      </w:r>
      <w:r w:rsidRPr="00794292">
        <w:rPr>
          <w:rFonts w:ascii="Tahoma" w:hAnsi="Tahoma" w:cs="Tahoma"/>
          <w:sz w:val="22"/>
          <w:szCs w:val="22"/>
        </w:rPr>
        <w:t xml:space="preserve"> que el i</w:t>
      </w:r>
      <w:r>
        <w:rPr>
          <w:rFonts w:ascii="Tahoma" w:hAnsi="Tahoma" w:cs="Tahoma"/>
          <w:sz w:val="22"/>
          <w:szCs w:val="22"/>
        </w:rPr>
        <w:t>ngeniero Jorge Luis Caro Jayo sí desempeñó</w:t>
      </w:r>
      <w:r w:rsidRPr="00794292">
        <w:rPr>
          <w:rFonts w:ascii="Tahoma" w:hAnsi="Tahoma" w:cs="Tahoma"/>
          <w:sz w:val="22"/>
          <w:szCs w:val="22"/>
        </w:rPr>
        <w:t xml:space="preserve"> el cargo de residente de obra que se acredita mediante Resolución de Gerencia General Nº 185-2006-INFES-VIVIENDA, adjuntando una declaración jurada suscrita por dicho ingeniero indicando que trab</w:t>
      </w:r>
      <w:r>
        <w:rPr>
          <w:rFonts w:ascii="Tahoma" w:hAnsi="Tahoma" w:cs="Tahoma"/>
          <w:sz w:val="22"/>
          <w:szCs w:val="22"/>
        </w:rPr>
        <w:t>ajó</w:t>
      </w:r>
      <w:r w:rsidRPr="00794292">
        <w:rPr>
          <w:rFonts w:ascii="Tahoma" w:hAnsi="Tahoma" w:cs="Tahoma"/>
          <w:sz w:val="22"/>
          <w:szCs w:val="22"/>
        </w:rPr>
        <w:t xml:space="preserve"> en la obra </w:t>
      </w:r>
      <w:r w:rsidRPr="00794292">
        <w:rPr>
          <w:rFonts w:ascii="Tahoma" w:hAnsi="Tahoma" w:cs="Tahoma"/>
          <w:sz w:val="22"/>
          <w:szCs w:val="22"/>
        </w:rPr>
        <w:lastRenderedPageBreak/>
        <w:t>Rehabilitación y Ampliación de la capacidad de albergue en el establecimiento penitenciario de Yurimaguas desde el 21.06.2006 al 23 de febrero de 2007.</w:t>
      </w:r>
    </w:p>
    <w:p w:rsidR="00B6275A" w:rsidRPr="00794292" w:rsidRDefault="00B6275A" w:rsidP="00B6275A">
      <w:pPr>
        <w:pStyle w:val="Prrafodelista"/>
        <w:rPr>
          <w:rFonts w:ascii="Tahoma" w:hAnsi="Tahoma" w:cs="Tahoma"/>
          <w:sz w:val="22"/>
          <w:szCs w:val="22"/>
        </w:rPr>
      </w:pPr>
    </w:p>
    <w:p w:rsidR="00B6275A"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 xml:space="preserve">Mediante decreto del 25 de mayo de 2011, este Tribunal </w:t>
      </w:r>
      <w:r>
        <w:rPr>
          <w:rFonts w:ascii="Tahoma" w:hAnsi="Tahoma" w:cs="Tahoma"/>
          <w:sz w:val="22"/>
          <w:szCs w:val="22"/>
        </w:rPr>
        <w:t>requirió</w:t>
      </w:r>
      <w:r w:rsidRPr="00794292">
        <w:rPr>
          <w:rFonts w:ascii="Tahoma" w:hAnsi="Tahoma" w:cs="Tahoma"/>
          <w:sz w:val="22"/>
          <w:szCs w:val="22"/>
        </w:rPr>
        <w:t xml:space="preserve"> información adicional a E</w:t>
      </w:r>
      <w:r>
        <w:rPr>
          <w:rFonts w:ascii="Tahoma" w:hAnsi="Tahoma" w:cs="Tahoma"/>
          <w:sz w:val="22"/>
          <w:szCs w:val="22"/>
        </w:rPr>
        <w:t>l</w:t>
      </w:r>
      <w:r w:rsidRPr="00794292">
        <w:rPr>
          <w:rFonts w:ascii="Tahoma" w:hAnsi="Tahoma" w:cs="Tahoma"/>
          <w:sz w:val="22"/>
          <w:szCs w:val="22"/>
        </w:rPr>
        <w:t>ectroperu solicitando:</w:t>
      </w:r>
    </w:p>
    <w:p w:rsidR="00B6275A" w:rsidRPr="00FE5146" w:rsidRDefault="00B6275A" w:rsidP="00B6275A">
      <w:pPr>
        <w:jc w:val="both"/>
        <w:rPr>
          <w:rFonts w:ascii="Tahoma" w:hAnsi="Tahoma" w:cs="Tahoma"/>
          <w:sz w:val="22"/>
          <w:szCs w:val="22"/>
        </w:rPr>
      </w:pPr>
    </w:p>
    <w:p w:rsidR="00B6275A" w:rsidRPr="00794292" w:rsidRDefault="00B6275A" w:rsidP="00B6275A">
      <w:pPr>
        <w:ind w:left="426"/>
        <w:jc w:val="both"/>
        <w:rPr>
          <w:rFonts w:ascii="Tahoma" w:hAnsi="Tahoma" w:cs="Tahoma"/>
          <w:i/>
          <w:color w:val="000000" w:themeColor="text1"/>
          <w:sz w:val="22"/>
          <w:szCs w:val="22"/>
          <w:lang w:val="es-PE"/>
        </w:rPr>
      </w:pPr>
      <w:r w:rsidRPr="00794292">
        <w:rPr>
          <w:rFonts w:ascii="Tahoma" w:hAnsi="Tahoma" w:cs="Tahoma"/>
          <w:i/>
          <w:color w:val="000000" w:themeColor="text1"/>
          <w:sz w:val="22"/>
          <w:szCs w:val="22"/>
          <w:lang w:val="es-PE"/>
        </w:rPr>
        <w:t>“A fin que la Primera Sala tenga mayores elementos de juicio al momento de resolver el presente procedimiento, se requiere lo siguiente:</w:t>
      </w:r>
    </w:p>
    <w:p w:rsidR="00B6275A" w:rsidRPr="00794292" w:rsidRDefault="00B6275A" w:rsidP="00B6275A">
      <w:pPr>
        <w:ind w:left="426"/>
        <w:jc w:val="both"/>
        <w:rPr>
          <w:rFonts w:ascii="Tahoma" w:hAnsi="Tahoma" w:cs="Tahoma"/>
          <w:i/>
          <w:sz w:val="22"/>
          <w:szCs w:val="22"/>
          <w:lang w:val="es-PE"/>
        </w:rPr>
      </w:pPr>
    </w:p>
    <w:p w:rsidR="00B6275A" w:rsidRPr="00794292" w:rsidRDefault="00B6275A" w:rsidP="00B6275A">
      <w:pPr>
        <w:pStyle w:val="Prrafodelista"/>
        <w:autoSpaceDE w:val="0"/>
        <w:autoSpaceDN w:val="0"/>
        <w:adjustRightInd w:val="0"/>
        <w:ind w:left="426"/>
        <w:jc w:val="both"/>
        <w:rPr>
          <w:rFonts w:ascii="Tahoma" w:eastAsia="Calibri" w:hAnsi="Tahoma" w:cs="Tahoma"/>
          <w:b/>
          <w:bCs/>
          <w:i/>
          <w:color w:val="000000"/>
          <w:sz w:val="22"/>
          <w:szCs w:val="22"/>
          <w:u w:val="single"/>
          <w:lang w:eastAsia="en-US"/>
        </w:rPr>
      </w:pPr>
      <w:r w:rsidRPr="00794292">
        <w:rPr>
          <w:rFonts w:ascii="Tahoma" w:eastAsia="Calibri" w:hAnsi="Tahoma" w:cs="Tahoma"/>
          <w:b/>
          <w:bCs/>
          <w:i/>
          <w:color w:val="000000"/>
          <w:sz w:val="22"/>
          <w:szCs w:val="22"/>
          <w:u w:val="single"/>
          <w:lang w:eastAsia="en-US"/>
        </w:rPr>
        <w:t xml:space="preserve">A ELECTROPERU SA </w:t>
      </w:r>
    </w:p>
    <w:p w:rsidR="00B6275A" w:rsidRPr="00794292" w:rsidRDefault="00B6275A" w:rsidP="00B6275A">
      <w:pPr>
        <w:pStyle w:val="Prrafodelista"/>
        <w:autoSpaceDE w:val="0"/>
        <w:autoSpaceDN w:val="0"/>
        <w:adjustRightInd w:val="0"/>
        <w:ind w:left="426"/>
        <w:jc w:val="both"/>
        <w:rPr>
          <w:rFonts w:ascii="Tahoma" w:eastAsia="Calibri" w:hAnsi="Tahoma" w:cs="Tahoma"/>
          <w:b/>
          <w:bCs/>
          <w:i/>
          <w:color w:val="000000"/>
          <w:sz w:val="22"/>
          <w:szCs w:val="22"/>
          <w:u w:val="single"/>
          <w:lang w:eastAsia="en-US"/>
        </w:rPr>
      </w:pPr>
    </w:p>
    <w:p w:rsidR="00B6275A" w:rsidRPr="00794292" w:rsidRDefault="00B6275A" w:rsidP="00B6275A">
      <w:pPr>
        <w:pStyle w:val="Prrafodelista"/>
        <w:numPr>
          <w:ilvl w:val="0"/>
          <w:numId w:val="13"/>
        </w:numPr>
        <w:autoSpaceDE w:val="0"/>
        <w:autoSpaceDN w:val="0"/>
        <w:adjustRightInd w:val="0"/>
        <w:ind w:left="567" w:hanging="567"/>
        <w:contextualSpacing/>
        <w:jc w:val="both"/>
        <w:rPr>
          <w:rFonts w:ascii="Tahoma" w:hAnsi="Tahoma" w:cs="Tahoma"/>
          <w:i/>
          <w:sz w:val="22"/>
          <w:szCs w:val="22"/>
          <w:lang w:val="es-PE"/>
        </w:rPr>
      </w:pPr>
      <w:r w:rsidRPr="00794292">
        <w:rPr>
          <w:rFonts w:ascii="Tahoma" w:hAnsi="Tahoma" w:cs="Tahoma"/>
          <w:i/>
          <w:sz w:val="22"/>
          <w:szCs w:val="22"/>
        </w:rPr>
        <w:t>Adjunto se le remite copia del Contrato “Construcción del 57 viviendas en el centro de producción Mantaro”. Sírvase remitir el Acta de recepción de la citada obra.</w:t>
      </w:r>
    </w:p>
    <w:p w:rsidR="00B6275A" w:rsidRPr="00794292" w:rsidRDefault="00B6275A" w:rsidP="00B6275A">
      <w:pPr>
        <w:pStyle w:val="Prrafodelista"/>
        <w:numPr>
          <w:ilvl w:val="0"/>
          <w:numId w:val="13"/>
        </w:numPr>
        <w:autoSpaceDE w:val="0"/>
        <w:autoSpaceDN w:val="0"/>
        <w:adjustRightInd w:val="0"/>
        <w:ind w:left="567" w:hanging="567"/>
        <w:contextualSpacing/>
        <w:jc w:val="both"/>
        <w:rPr>
          <w:rFonts w:ascii="Tahoma" w:hAnsi="Tahoma" w:cs="Tahoma"/>
          <w:i/>
          <w:sz w:val="22"/>
          <w:szCs w:val="22"/>
          <w:lang w:val="es-PE"/>
        </w:rPr>
      </w:pPr>
      <w:r w:rsidRPr="00794292">
        <w:rPr>
          <w:rFonts w:ascii="Tahoma" w:hAnsi="Tahoma" w:cs="Tahoma"/>
          <w:i/>
          <w:sz w:val="22"/>
          <w:szCs w:val="22"/>
        </w:rPr>
        <w:t>Sírvase indicar la fecha de inicio y culminación de la Obra indicada</w:t>
      </w:r>
      <w:r w:rsidRPr="00794292">
        <w:rPr>
          <w:rFonts w:ascii="Tahoma" w:hAnsi="Tahoma" w:cs="Tahoma"/>
          <w:i/>
          <w:sz w:val="22"/>
          <w:szCs w:val="22"/>
          <w:lang w:val="es-PE"/>
        </w:rPr>
        <w:t xml:space="preserve"> (desde la ejecución inicial hasta la recepción definitiva y liquidación de la obra)</w:t>
      </w:r>
    </w:p>
    <w:p w:rsidR="00B6275A" w:rsidRPr="00794292" w:rsidRDefault="00B6275A" w:rsidP="00B6275A">
      <w:pPr>
        <w:pStyle w:val="Prrafodelista"/>
        <w:numPr>
          <w:ilvl w:val="0"/>
          <w:numId w:val="13"/>
        </w:numPr>
        <w:autoSpaceDE w:val="0"/>
        <w:autoSpaceDN w:val="0"/>
        <w:adjustRightInd w:val="0"/>
        <w:ind w:left="567" w:hanging="567"/>
        <w:contextualSpacing/>
        <w:jc w:val="both"/>
        <w:rPr>
          <w:rFonts w:ascii="Tahoma" w:hAnsi="Tahoma" w:cs="Tahoma"/>
          <w:i/>
          <w:sz w:val="22"/>
          <w:szCs w:val="22"/>
          <w:lang w:val="es-PE"/>
        </w:rPr>
      </w:pPr>
      <w:r w:rsidRPr="00794292">
        <w:rPr>
          <w:rFonts w:ascii="Tahoma" w:hAnsi="Tahoma" w:cs="Tahoma"/>
          <w:i/>
          <w:sz w:val="22"/>
          <w:szCs w:val="22"/>
          <w:lang w:val="es-PE"/>
        </w:rPr>
        <w:t>Sírvase indicar quien fue el residente de obra y a partir de cuándo inicio sus labores como tal.”</w:t>
      </w:r>
    </w:p>
    <w:p w:rsidR="00B6275A" w:rsidRPr="00794292" w:rsidRDefault="00B6275A" w:rsidP="00B6275A">
      <w:pPr>
        <w:pStyle w:val="Prrafodelista"/>
        <w:rPr>
          <w:rFonts w:ascii="Tahoma" w:hAnsi="Tahoma" w:cs="Tahoma"/>
          <w:sz w:val="22"/>
          <w:szCs w:val="22"/>
          <w:lang w:val="es-PE"/>
        </w:rPr>
      </w:pPr>
    </w:p>
    <w:p w:rsidR="00B6275A" w:rsidRPr="006C3B0A"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Así también, mediante decreto del 25 de may</w:t>
      </w:r>
      <w:r>
        <w:rPr>
          <w:rFonts w:ascii="Tahoma" w:hAnsi="Tahoma" w:cs="Tahoma"/>
          <w:sz w:val="22"/>
          <w:szCs w:val="22"/>
        </w:rPr>
        <w:t>o de 2011, este Tribunal solicitó</w:t>
      </w:r>
      <w:r w:rsidRPr="00794292">
        <w:rPr>
          <w:rFonts w:ascii="Tahoma" w:hAnsi="Tahoma" w:cs="Tahoma"/>
          <w:sz w:val="22"/>
          <w:szCs w:val="22"/>
        </w:rPr>
        <w:t xml:space="preserve"> información adicional a la Entidad, </w:t>
      </w:r>
      <w:r>
        <w:rPr>
          <w:rFonts w:ascii="Tahoma" w:hAnsi="Tahoma" w:cs="Tahoma"/>
          <w:sz w:val="22"/>
          <w:szCs w:val="22"/>
        </w:rPr>
        <w:t>debiendo</w:t>
      </w:r>
      <w:r w:rsidRPr="00794292">
        <w:rPr>
          <w:rFonts w:ascii="Tahoma" w:hAnsi="Tahoma" w:cs="Tahoma"/>
          <w:sz w:val="22"/>
          <w:szCs w:val="22"/>
        </w:rPr>
        <w:t xml:space="preserve"> remitir un informe técnico sobre la evaluación efectuada por el Comité Especial respecto del cumplimiento por parte del Impugnante, de los requisitos técnicos mínimos exigidos para acreditar la experiencia mínima solicitada para el Residente y el Asistente de Obra.</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El 30 de mayo</w:t>
      </w:r>
      <w:r>
        <w:rPr>
          <w:rFonts w:ascii="Tahoma" w:hAnsi="Tahoma" w:cs="Tahoma"/>
          <w:sz w:val="22"/>
          <w:szCs w:val="22"/>
        </w:rPr>
        <w:t>,</w:t>
      </w:r>
      <w:r w:rsidRPr="00794292">
        <w:rPr>
          <w:rFonts w:ascii="Tahoma" w:hAnsi="Tahoma" w:cs="Tahoma"/>
          <w:sz w:val="22"/>
          <w:szCs w:val="22"/>
        </w:rPr>
        <w:t xml:space="preserve"> el Consorcio Rio Mayo presentó un escrito adjuntando una Carta del Consorcio Cajabamba ratificando la veracidad del Certificado de Trabajo emitido por él</w:t>
      </w:r>
      <w:r>
        <w:rPr>
          <w:rFonts w:ascii="Tahoma" w:hAnsi="Tahoma" w:cs="Tahoma"/>
          <w:sz w:val="22"/>
          <w:szCs w:val="22"/>
        </w:rPr>
        <w:t>,</w:t>
      </w:r>
      <w:r w:rsidRPr="00794292">
        <w:rPr>
          <w:rFonts w:ascii="Tahoma" w:hAnsi="Tahoma" w:cs="Tahoma"/>
          <w:sz w:val="22"/>
          <w:szCs w:val="22"/>
        </w:rPr>
        <w:t xml:space="preserve"> a fin de acreditar la experiencia del residente en el obra “Construcción de 57 viviendas en el centro de producción Mantaro” señalando que el ingeniero Jorge Luis Caro Jayo prestó sus servicios desde el 26.02.2007.</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Mediante Oficio Nº 2878-2011-ME/VMGI-OINFE del 31 de mayo de 2011</w:t>
      </w:r>
      <w:r>
        <w:rPr>
          <w:rFonts w:ascii="Tahoma" w:hAnsi="Tahoma" w:cs="Tahoma"/>
          <w:sz w:val="22"/>
          <w:szCs w:val="22"/>
        </w:rPr>
        <w:t>, el INFES remitió</w:t>
      </w:r>
      <w:r w:rsidRPr="00794292">
        <w:rPr>
          <w:rFonts w:ascii="Tahoma" w:hAnsi="Tahoma" w:cs="Tahoma"/>
          <w:sz w:val="22"/>
          <w:szCs w:val="22"/>
        </w:rPr>
        <w:t xml:space="preserve"> la información solicitada por este Tribunal</w:t>
      </w:r>
      <w:r>
        <w:rPr>
          <w:rFonts w:ascii="Tahoma" w:hAnsi="Tahoma" w:cs="Tahoma"/>
          <w:sz w:val="22"/>
          <w:szCs w:val="22"/>
        </w:rPr>
        <w:t>,</w:t>
      </w:r>
      <w:r w:rsidRPr="00794292">
        <w:rPr>
          <w:rFonts w:ascii="Tahoma" w:hAnsi="Tahoma" w:cs="Tahoma"/>
          <w:sz w:val="22"/>
          <w:szCs w:val="22"/>
        </w:rPr>
        <w:t xml:space="preserve"> señalando que el ingeniero Jorge Luis Caro Jayo trabajó como residente de la obra: “I.E. José Carlos Mariátegui” desde el 21 de junio de 2006 al 01 de marzo de 2007.</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1"/>
        </w:numPr>
        <w:jc w:val="both"/>
        <w:rPr>
          <w:rFonts w:ascii="Tahoma" w:hAnsi="Tahoma" w:cs="Tahoma"/>
          <w:sz w:val="22"/>
          <w:szCs w:val="22"/>
        </w:rPr>
      </w:pPr>
      <w:r w:rsidRPr="00794292">
        <w:rPr>
          <w:rFonts w:ascii="Tahoma" w:hAnsi="Tahoma" w:cs="Tahoma"/>
          <w:sz w:val="22"/>
          <w:szCs w:val="22"/>
        </w:rPr>
        <w:t>De otro lado, por su parte</w:t>
      </w:r>
      <w:r>
        <w:rPr>
          <w:rFonts w:ascii="Tahoma" w:hAnsi="Tahoma" w:cs="Tahoma"/>
          <w:sz w:val="22"/>
          <w:szCs w:val="22"/>
        </w:rPr>
        <w:t>,</w:t>
      </w:r>
      <w:r w:rsidRPr="00794292">
        <w:rPr>
          <w:rFonts w:ascii="Tahoma" w:hAnsi="Tahoma" w:cs="Tahoma"/>
          <w:sz w:val="22"/>
          <w:szCs w:val="22"/>
        </w:rPr>
        <w:t xml:space="preserve"> Electroperu </w:t>
      </w:r>
      <w:r>
        <w:rPr>
          <w:rFonts w:ascii="Tahoma" w:hAnsi="Tahoma" w:cs="Tahoma"/>
          <w:sz w:val="22"/>
          <w:szCs w:val="22"/>
        </w:rPr>
        <w:t xml:space="preserve">con fecha 31 de mayo de 2011, </w:t>
      </w:r>
      <w:r w:rsidRPr="00794292">
        <w:rPr>
          <w:rFonts w:ascii="Tahoma" w:hAnsi="Tahoma" w:cs="Tahoma"/>
          <w:sz w:val="22"/>
          <w:szCs w:val="22"/>
        </w:rPr>
        <w:t>remite lo solicitado por el Tribunal señalando que el ingeniero Jorge Luis Caro Jayo se desempeñó como ingeniero residente en la obra “Construcción de 57 Viviendas en el centro de producción Mantaro” desde el 22 de junio de 2007 hasta el 02 de marzo de 2009.</w:t>
      </w:r>
    </w:p>
    <w:p w:rsidR="00B6275A" w:rsidRPr="00794292" w:rsidRDefault="00B6275A" w:rsidP="00B6275A">
      <w:pPr>
        <w:pStyle w:val="Prrafodelista"/>
        <w:rPr>
          <w:rFonts w:ascii="Tahoma" w:hAnsi="Tahoma" w:cs="Tahoma"/>
          <w:sz w:val="22"/>
          <w:szCs w:val="22"/>
        </w:rPr>
      </w:pPr>
    </w:p>
    <w:p w:rsidR="00B6275A" w:rsidRPr="006C3B0A" w:rsidRDefault="00B6275A" w:rsidP="00B6275A">
      <w:pPr>
        <w:pStyle w:val="Prrafodelista"/>
        <w:numPr>
          <w:ilvl w:val="0"/>
          <w:numId w:val="11"/>
        </w:numPr>
        <w:jc w:val="both"/>
        <w:rPr>
          <w:rFonts w:ascii="Tahoma" w:hAnsi="Tahoma" w:cs="Tahoma"/>
          <w:sz w:val="22"/>
          <w:szCs w:val="22"/>
        </w:rPr>
      </w:pPr>
      <w:r w:rsidRPr="00924CCD">
        <w:rPr>
          <w:rFonts w:ascii="Tahoma" w:hAnsi="Tahoma" w:cs="Tahoma"/>
          <w:sz w:val="22"/>
          <w:szCs w:val="22"/>
        </w:rPr>
        <w:t xml:space="preserve">Mediante decreto de fecha 01 de junio de 2011, el Tribunal declara el expediente listo para resolver. </w:t>
      </w:r>
    </w:p>
    <w:p w:rsidR="00B6275A" w:rsidRPr="004929CB" w:rsidRDefault="00B6275A" w:rsidP="00B959DD">
      <w:pPr>
        <w:pStyle w:val="Prrafodelista"/>
        <w:ind w:left="567"/>
        <w:jc w:val="both"/>
        <w:rPr>
          <w:rFonts w:ascii="Tahoma" w:hAnsi="Tahoma" w:cs="Tahoma"/>
          <w:sz w:val="21"/>
          <w:szCs w:val="21"/>
        </w:rPr>
      </w:pPr>
      <w:r w:rsidRPr="004929CB">
        <w:rPr>
          <w:rFonts w:ascii="Tahoma" w:hAnsi="Tahoma" w:cs="Tahoma"/>
          <w:b/>
          <w:bCs/>
          <w:shadow/>
          <w:sz w:val="21"/>
          <w:szCs w:val="21"/>
        </w:rPr>
        <w:lastRenderedPageBreak/>
        <w:t>FUNDAMENTACION:</w:t>
      </w:r>
    </w:p>
    <w:p w:rsidR="00B6275A" w:rsidRPr="004929CB" w:rsidRDefault="00B6275A" w:rsidP="00B6275A">
      <w:pPr>
        <w:tabs>
          <w:tab w:val="left" w:pos="567"/>
        </w:tabs>
        <w:autoSpaceDE w:val="0"/>
        <w:autoSpaceDN w:val="0"/>
        <w:adjustRightInd w:val="0"/>
        <w:jc w:val="both"/>
        <w:rPr>
          <w:rFonts w:ascii="Tahoma" w:hAnsi="Tahoma" w:cs="Tahoma"/>
          <w:sz w:val="21"/>
          <w:szCs w:val="21"/>
        </w:rPr>
      </w:pPr>
    </w:p>
    <w:p w:rsidR="00B6275A" w:rsidRDefault="00B6275A" w:rsidP="00B6275A">
      <w:pPr>
        <w:pStyle w:val="Prrafodelista"/>
        <w:numPr>
          <w:ilvl w:val="0"/>
          <w:numId w:val="1"/>
        </w:numPr>
        <w:ind w:left="426" w:hanging="426"/>
        <w:contextualSpacing/>
        <w:jc w:val="both"/>
        <w:rPr>
          <w:rFonts w:ascii="Tahoma" w:hAnsi="Tahoma" w:cs="Tahoma"/>
          <w:sz w:val="22"/>
          <w:szCs w:val="22"/>
        </w:rPr>
      </w:pPr>
      <w:r w:rsidRPr="00794292">
        <w:rPr>
          <w:rFonts w:ascii="Tahoma" w:hAnsi="Tahoma" w:cs="Tahoma"/>
          <w:sz w:val="22"/>
          <w:szCs w:val="22"/>
        </w:rPr>
        <w:t>Es materia del presente procedimiento administrativo el recurso de apelación interpuesto por el Consorcio Rio Mayo contra su descalificación y el otorgamiento de la Buena Pro del proceso de Licitación Pública N.º 001 – 2011 – INPE-OIP,  para la ejecución de la obra. “Rehabilitación y Ampliación de la capacidad del albergue en el establecimiento penitenciario de Yurimaguas, convocada por el Instituto Nacional Penitenciario, en adelante, la Entidad.</w:t>
      </w:r>
    </w:p>
    <w:p w:rsidR="00B6275A" w:rsidRDefault="00B6275A" w:rsidP="00B6275A">
      <w:pPr>
        <w:pStyle w:val="Prrafodelista"/>
        <w:ind w:left="426"/>
        <w:contextualSpacing/>
        <w:jc w:val="both"/>
        <w:rPr>
          <w:rFonts w:ascii="Tahoma" w:hAnsi="Tahoma" w:cs="Tahoma"/>
          <w:sz w:val="22"/>
          <w:szCs w:val="22"/>
        </w:rPr>
      </w:pPr>
    </w:p>
    <w:p w:rsidR="00B6275A" w:rsidRDefault="00B6275A" w:rsidP="00B6275A">
      <w:pPr>
        <w:pStyle w:val="Prrafodelista"/>
        <w:numPr>
          <w:ilvl w:val="0"/>
          <w:numId w:val="1"/>
        </w:numPr>
        <w:ind w:left="426" w:hanging="426"/>
        <w:contextualSpacing/>
        <w:jc w:val="both"/>
        <w:rPr>
          <w:rFonts w:ascii="Tahoma" w:hAnsi="Tahoma" w:cs="Tahoma"/>
          <w:sz w:val="22"/>
          <w:szCs w:val="22"/>
        </w:rPr>
      </w:pPr>
      <w:r w:rsidRPr="00E17D91">
        <w:rPr>
          <w:rFonts w:ascii="Tahoma" w:hAnsi="Tahoma" w:cs="Tahoma"/>
          <w:sz w:val="22"/>
          <w:szCs w:val="22"/>
        </w:rPr>
        <w:t>Debe tenerse en cuenta que el presente proceso de selección se llevó a cabo estando vigente la Ley de Contrataciones del Estado, aprobada por Decreto Legislativo Nº 1017 – en adelante la Ley, y su Reglamento, aprobado por Decreto Supremo Nº 184-2008-EF, en adelante el Reglamento; por lo que tales disposiciones legales resultan aplicables.</w:t>
      </w:r>
    </w:p>
    <w:p w:rsidR="00B6275A" w:rsidRPr="00E17D91" w:rsidRDefault="00B6275A" w:rsidP="00B6275A">
      <w:pPr>
        <w:pStyle w:val="Prrafodelista"/>
        <w:rPr>
          <w:rFonts w:ascii="Tahoma" w:hAnsi="Tahoma" w:cs="Tahoma"/>
          <w:sz w:val="22"/>
          <w:szCs w:val="22"/>
        </w:rPr>
      </w:pPr>
    </w:p>
    <w:p w:rsidR="00B6275A" w:rsidRDefault="00B6275A" w:rsidP="00B6275A">
      <w:pPr>
        <w:pStyle w:val="Prrafodelista"/>
        <w:numPr>
          <w:ilvl w:val="0"/>
          <w:numId w:val="1"/>
        </w:numPr>
        <w:ind w:left="426" w:hanging="426"/>
        <w:contextualSpacing/>
        <w:jc w:val="both"/>
        <w:rPr>
          <w:rFonts w:ascii="Tahoma" w:hAnsi="Tahoma" w:cs="Tahoma"/>
          <w:sz w:val="22"/>
          <w:szCs w:val="22"/>
        </w:rPr>
      </w:pPr>
      <w:r w:rsidRPr="00E17D91">
        <w:rPr>
          <w:rFonts w:ascii="Tahoma" w:hAnsi="Tahoma" w:cs="Tahoma"/>
          <w:sz w:val="22"/>
          <w:szCs w:val="22"/>
        </w:rPr>
        <w:t>El Consorcio Rio Mayo interpuso el recurso de apelación teniendo en cuenta que la Entidad lo descalificó por haber ofertado económicamente por debajo del límite mínimo establecido (ya que el Consorcio no incluyó en su propuesta económica el Impuesto General a las Ventas) y a consideración de la Entidad, éste no gozaba del beneficio tributario de la exoneración del IGV, establecida en la Ley 27037.</w:t>
      </w:r>
    </w:p>
    <w:p w:rsidR="00B6275A" w:rsidRPr="00E17D91" w:rsidRDefault="00B6275A" w:rsidP="00B6275A">
      <w:pPr>
        <w:pStyle w:val="Prrafodelista"/>
        <w:rPr>
          <w:rFonts w:ascii="Tahoma" w:hAnsi="Tahoma" w:cs="Tahoma"/>
          <w:sz w:val="22"/>
          <w:szCs w:val="22"/>
        </w:rPr>
      </w:pPr>
    </w:p>
    <w:p w:rsidR="00B6275A" w:rsidRDefault="00B6275A" w:rsidP="00B6275A">
      <w:pPr>
        <w:pStyle w:val="Prrafodelista"/>
        <w:numPr>
          <w:ilvl w:val="0"/>
          <w:numId w:val="1"/>
        </w:numPr>
        <w:ind w:left="426" w:hanging="426"/>
        <w:contextualSpacing/>
        <w:jc w:val="both"/>
        <w:rPr>
          <w:rFonts w:ascii="Tahoma" w:hAnsi="Tahoma" w:cs="Tahoma"/>
          <w:sz w:val="22"/>
          <w:szCs w:val="22"/>
        </w:rPr>
      </w:pPr>
      <w:r w:rsidRPr="00E17D91">
        <w:rPr>
          <w:rFonts w:ascii="Tahoma" w:hAnsi="Tahoma" w:cs="Tahoma"/>
          <w:sz w:val="22"/>
          <w:szCs w:val="22"/>
        </w:rPr>
        <w:t>Al presente procedimiento se apersonó en calidad de tercero administrado el Consorcio Bajo Huallaga, postor al que se le adjudicó la Buena Pro del proceso, éste mediante escrito del 26 de abril de 2011, solicitó a este Tribunal tener por no presentado el recurso de apelación interpuesto por el Consorcio Rio Mayo teniendo en cuenta que la abogada patrocinante, quien firma el escrito de apelación, no está habilitada por el Colegio de Abogados de Lima al no encontrarse activa, por lo que de forma preliminar, este Tribunal se pronunciará al respecto.</w:t>
      </w:r>
    </w:p>
    <w:p w:rsidR="00B6275A" w:rsidRPr="00E17D91" w:rsidRDefault="00B6275A" w:rsidP="00B6275A">
      <w:pPr>
        <w:pStyle w:val="Prrafodelista"/>
        <w:rPr>
          <w:rFonts w:ascii="Tahoma" w:hAnsi="Tahoma" w:cs="Tahoma"/>
          <w:sz w:val="22"/>
          <w:szCs w:val="22"/>
        </w:rPr>
      </w:pPr>
    </w:p>
    <w:p w:rsidR="00B6275A" w:rsidRDefault="00B6275A" w:rsidP="00B6275A">
      <w:pPr>
        <w:pStyle w:val="Prrafodelista"/>
        <w:numPr>
          <w:ilvl w:val="0"/>
          <w:numId w:val="1"/>
        </w:numPr>
        <w:ind w:left="426" w:hanging="426"/>
        <w:contextualSpacing/>
        <w:jc w:val="both"/>
        <w:rPr>
          <w:rFonts w:ascii="Tahoma" w:hAnsi="Tahoma" w:cs="Tahoma"/>
          <w:sz w:val="22"/>
          <w:szCs w:val="22"/>
        </w:rPr>
      </w:pPr>
      <w:r w:rsidRPr="00E17D91">
        <w:rPr>
          <w:rFonts w:ascii="Tahoma" w:hAnsi="Tahoma" w:cs="Tahoma"/>
          <w:sz w:val="22"/>
          <w:szCs w:val="22"/>
        </w:rPr>
        <w:t xml:space="preserve">Con relación al asunto planteado, este Tribunal ha sostenido en reiterados pronunciamientos que la omisión a que se refiere el ganador de la buena pro constituye un aspecto formal que puede ser subsanado durante la tramitación del procedimiento, pues de lo contrario se causaría indefensión en la parte, privilegiándose formalismos que bien pueden ser materia de enmienda. Esta solución es aconsejada también por el hecho de ser perfectamente posible que la parte concernida puede haber actuado con desconocimiento que el abogado patrocinante había incumplido con el pago de cuotas al gremio al que debe pertenecer por imperio de la Ley, priorizándose un criterio rígido formal con sacrificio de la justicia y equidad. Este razonamiento encuentra sustento en la aplicación de los Principios de Informalismo y Eficiencia, desarrollados en los numerales 1.6 y 1.10 del artículo IV del Título Preliminar de la Ley del Procedimiento Administrativo General, Ley N° 27444. </w:t>
      </w:r>
    </w:p>
    <w:p w:rsidR="00B6275A" w:rsidRPr="00E17D91" w:rsidRDefault="00B6275A" w:rsidP="00B6275A">
      <w:pPr>
        <w:pStyle w:val="Prrafodelista"/>
        <w:rPr>
          <w:rFonts w:ascii="Tahoma" w:hAnsi="Tahoma" w:cs="Tahoma"/>
          <w:sz w:val="22"/>
          <w:szCs w:val="22"/>
        </w:rPr>
      </w:pPr>
    </w:p>
    <w:p w:rsidR="00B6275A" w:rsidRDefault="00B6275A" w:rsidP="00B6275A">
      <w:pPr>
        <w:pStyle w:val="Prrafodelista"/>
        <w:numPr>
          <w:ilvl w:val="0"/>
          <w:numId w:val="1"/>
        </w:numPr>
        <w:ind w:left="426" w:hanging="426"/>
        <w:contextualSpacing/>
        <w:jc w:val="both"/>
        <w:rPr>
          <w:rFonts w:ascii="Tahoma" w:hAnsi="Tahoma" w:cs="Tahoma"/>
          <w:sz w:val="22"/>
          <w:szCs w:val="22"/>
        </w:rPr>
      </w:pPr>
      <w:r w:rsidRPr="00E17D91">
        <w:rPr>
          <w:rFonts w:ascii="Tahoma" w:hAnsi="Tahoma" w:cs="Tahoma"/>
          <w:sz w:val="22"/>
          <w:szCs w:val="22"/>
        </w:rPr>
        <w:lastRenderedPageBreak/>
        <w:t>En este sentido, tanto el Tribunal como la Corte Suprema</w:t>
      </w:r>
      <w:r w:rsidRPr="00794292">
        <w:rPr>
          <w:rStyle w:val="Refdenotaalpie"/>
          <w:rFonts w:ascii="Tahoma" w:hAnsi="Tahoma" w:cs="Tahoma"/>
          <w:sz w:val="22"/>
          <w:szCs w:val="22"/>
        </w:rPr>
        <w:footnoteReference w:id="2"/>
      </w:r>
      <w:r w:rsidRPr="00E17D91">
        <w:rPr>
          <w:rFonts w:ascii="Tahoma" w:hAnsi="Tahoma" w:cs="Tahoma"/>
          <w:sz w:val="22"/>
          <w:szCs w:val="22"/>
        </w:rPr>
        <w:t xml:space="preserve"> en referencia a este tema han indicado que la condición de inactivo o inhábil de un abogado por falta de pago de sus cuotas gremiales en un asunto absolutamente administrativo y de forma, entre el colegio de la profesión y el abogado, y que de ningún modo puede perjudicar a los litigantes o patrocinados, debido a que se le estaría recortando un Derecho Constitucional como es el Derecho de Defensa contemplado en el inciso 14 del artículo 130 del la Constitución Política del Perú.</w:t>
      </w:r>
    </w:p>
    <w:p w:rsidR="00B6275A" w:rsidRPr="00E17D91" w:rsidRDefault="00B6275A" w:rsidP="00B6275A">
      <w:pPr>
        <w:pStyle w:val="Prrafodelista"/>
        <w:rPr>
          <w:rFonts w:ascii="Tahoma" w:hAnsi="Tahoma" w:cs="Tahoma"/>
          <w:sz w:val="22"/>
          <w:szCs w:val="22"/>
        </w:rPr>
      </w:pPr>
    </w:p>
    <w:p w:rsidR="00B6275A" w:rsidRDefault="00B6275A" w:rsidP="00B6275A">
      <w:pPr>
        <w:pStyle w:val="Prrafodelista"/>
        <w:ind w:left="426"/>
        <w:contextualSpacing/>
        <w:jc w:val="both"/>
        <w:rPr>
          <w:rFonts w:ascii="Tahoma" w:hAnsi="Tahoma" w:cs="Tahoma"/>
          <w:sz w:val="22"/>
          <w:szCs w:val="22"/>
        </w:rPr>
      </w:pPr>
      <w:r w:rsidRPr="00E17D91">
        <w:rPr>
          <w:rFonts w:ascii="Tahoma" w:hAnsi="Tahoma" w:cs="Tahoma"/>
          <w:sz w:val="22"/>
          <w:szCs w:val="22"/>
        </w:rPr>
        <w:t>En este orden de ideas, la exigencia recogida en el inciso 10 del artículo 109 del Reglamento constituye un requisito de forma procedimental, cuya exigencia debe ser ponderada atendiendo los fines para los cuales está diseñado el recurso de apelación, pues las formalidades no son un fin en sí mismas, tanto es así que la autorización defectuosa no invalida la impugnación ni le impide alcanzar la finalidad para la cual fue presentada.</w:t>
      </w:r>
    </w:p>
    <w:p w:rsidR="00B6275A" w:rsidRPr="00E17D91" w:rsidRDefault="00B6275A" w:rsidP="00B6275A">
      <w:pPr>
        <w:pStyle w:val="Prrafodelista"/>
        <w:rPr>
          <w:rFonts w:ascii="Tahoma" w:hAnsi="Tahoma" w:cs="Tahoma"/>
          <w:sz w:val="22"/>
          <w:szCs w:val="22"/>
        </w:rPr>
      </w:pPr>
    </w:p>
    <w:p w:rsidR="00B6275A" w:rsidRDefault="00B6275A" w:rsidP="00B6275A">
      <w:pPr>
        <w:pStyle w:val="Prrafodelista"/>
        <w:ind w:left="426"/>
        <w:contextualSpacing/>
        <w:jc w:val="both"/>
        <w:rPr>
          <w:rFonts w:ascii="Tahoma" w:hAnsi="Tahoma" w:cs="Tahoma"/>
          <w:sz w:val="22"/>
          <w:szCs w:val="22"/>
        </w:rPr>
      </w:pPr>
      <w:r w:rsidRPr="00E17D91">
        <w:rPr>
          <w:rFonts w:ascii="Tahoma" w:hAnsi="Tahoma" w:cs="Tahoma"/>
          <w:sz w:val="22"/>
          <w:szCs w:val="22"/>
        </w:rPr>
        <w:t>A ello se suma que el Impugnante ha presentado, con fecha 28 de abril del 2011 un escrito en el que adjunta el certificado de habilidad del abogado en cuestión. Cabe señalar que según se advierte de la página web del Colegio de Abogados de Lima la abogada Carmen Rosa Bonifaz Cordova, con Registro CAL Nº 48927, figura como profesional habilitado.</w:t>
      </w:r>
    </w:p>
    <w:p w:rsidR="00B6275A" w:rsidRPr="00E17D91" w:rsidRDefault="00B6275A" w:rsidP="00B6275A">
      <w:pPr>
        <w:pStyle w:val="Prrafodelista"/>
        <w:rPr>
          <w:rFonts w:ascii="Tahoma" w:hAnsi="Tahoma" w:cs="Tahoma"/>
          <w:sz w:val="22"/>
          <w:szCs w:val="22"/>
        </w:rPr>
      </w:pPr>
    </w:p>
    <w:p w:rsidR="00B6275A" w:rsidRPr="00E17D91" w:rsidRDefault="00B6275A" w:rsidP="00B6275A">
      <w:pPr>
        <w:pStyle w:val="Prrafodelista"/>
        <w:numPr>
          <w:ilvl w:val="0"/>
          <w:numId w:val="1"/>
        </w:numPr>
        <w:ind w:left="426" w:hanging="426"/>
        <w:contextualSpacing/>
        <w:jc w:val="both"/>
        <w:rPr>
          <w:rFonts w:ascii="Tahoma" w:hAnsi="Tahoma" w:cs="Tahoma"/>
          <w:sz w:val="22"/>
          <w:szCs w:val="22"/>
        </w:rPr>
      </w:pPr>
      <w:r w:rsidRPr="00E17D91">
        <w:rPr>
          <w:rFonts w:ascii="Tahoma" w:hAnsi="Tahoma" w:cs="Tahoma"/>
          <w:sz w:val="22"/>
          <w:szCs w:val="22"/>
        </w:rPr>
        <w:t>Superado este cuestionamiento de orden formal, es menester abordar el tema de fondo; en ese sentido, de los antecedentes reseñados fluye que los asuntos controvertidos son los siguientes:</w:t>
      </w:r>
    </w:p>
    <w:p w:rsidR="00B6275A" w:rsidRPr="004E58BC" w:rsidRDefault="00B6275A" w:rsidP="00B6275A">
      <w:pPr>
        <w:pStyle w:val="Default"/>
        <w:ind w:left="567"/>
        <w:jc w:val="both"/>
        <w:rPr>
          <w:color w:val="auto"/>
          <w:sz w:val="22"/>
          <w:szCs w:val="22"/>
        </w:rPr>
      </w:pPr>
    </w:p>
    <w:p w:rsidR="00B6275A" w:rsidRDefault="00B6275A" w:rsidP="00B6275A">
      <w:pPr>
        <w:pStyle w:val="Prrafodelista"/>
        <w:numPr>
          <w:ilvl w:val="0"/>
          <w:numId w:val="31"/>
        </w:numPr>
        <w:tabs>
          <w:tab w:val="left" w:pos="851"/>
          <w:tab w:val="left" w:pos="1276"/>
        </w:tabs>
        <w:ind w:left="1276" w:right="425" w:hanging="709"/>
        <w:jc w:val="both"/>
        <w:rPr>
          <w:rFonts w:ascii="Tahoma" w:hAnsi="Tahoma" w:cs="Tahoma"/>
          <w:sz w:val="22"/>
          <w:szCs w:val="22"/>
        </w:rPr>
      </w:pPr>
      <w:r w:rsidRPr="004E58BC">
        <w:rPr>
          <w:rFonts w:ascii="Tahoma" w:hAnsi="Tahoma" w:cs="Tahoma"/>
          <w:sz w:val="22"/>
          <w:szCs w:val="22"/>
        </w:rPr>
        <w:t xml:space="preserve">Determinar si el </w:t>
      </w:r>
      <w:r>
        <w:rPr>
          <w:rFonts w:ascii="Tahoma" w:hAnsi="Tahoma" w:cs="Tahoma"/>
          <w:sz w:val="22"/>
          <w:szCs w:val="22"/>
        </w:rPr>
        <w:t xml:space="preserve">Impugnante, el </w:t>
      </w:r>
      <w:r w:rsidRPr="004E58BC">
        <w:rPr>
          <w:rFonts w:ascii="Tahoma" w:hAnsi="Tahoma" w:cs="Tahoma"/>
          <w:sz w:val="22"/>
          <w:szCs w:val="22"/>
        </w:rPr>
        <w:t>Consorcio Rio Mayo, al momento de la presentación de</w:t>
      </w:r>
      <w:r>
        <w:rPr>
          <w:rFonts w:ascii="Tahoma" w:hAnsi="Tahoma" w:cs="Tahoma"/>
          <w:sz w:val="22"/>
          <w:szCs w:val="22"/>
        </w:rPr>
        <w:t xml:space="preserve"> </w:t>
      </w:r>
      <w:r w:rsidRPr="004E58BC">
        <w:rPr>
          <w:rFonts w:ascii="Tahoma" w:hAnsi="Tahoma" w:cs="Tahoma"/>
          <w:sz w:val="22"/>
          <w:szCs w:val="22"/>
        </w:rPr>
        <w:t xml:space="preserve">su propuesta económica gozaba del beneficio de la exoneración del IGV establecido en el artículo 13 de la Ley Nº 27037-Ley de Promoción de la Inversión en la Amazonia y, por ende, si </w:t>
      </w:r>
      <w:r>
        <w:rPr>
          <w:rFonts w:ascii="Tahoma" w:hAnsi="Tahoma" w:cs="Tahoma"/>
          <w:sz w:val="22"/>
          <w:szCs w:val="22"/>
        </w:rPr>
        <w:t>no correspondía</w:t>
      </w:r>
      <w:r w:rsidRPr="004E58BC">
        <w:rPr>
          <w:rFonts w:ascii="Tahoma" w:hAnsi="Tahoma" w:cs="Tahoma"/>
          <w:sz w:val="22"/>
          <w:szCs w:val="22"/>
        </w:rPr>
        <w:t xml:space="preserve"> su descalificación.</w:t>
      </w:r>
    </w:p>
    <w:p w:rsidR="00B6275A" w:rsidRDefault="00B6275A" w:rsidP="00B6275A">
      <w:pPr>
        <w:pStyle w:val="Prrafodelista"/>
        <w:tabs>
          <w:tab w:val="left" w:pos="851"/>
          <w:tab w:val="left" w:pos="1276"/>
        </w:tabs>
        <w:ind w:left="1276" w:right="425"/>
        <w:jc w:val="both"/>
        <w:rPr>
          <w:rFonts w:ascii="Tahoma" w:hAnsi="Tahoma" w:cs="Tahoma"/>
          <w:sz w:val="22"/>
          <w:szCs w:val="22"/>
        </w:rPr>
      </w:pPr>
    </w:p>
    <w:p w:rsidR="00B6275A" w:rsidRPr="004E58BC" w:rsidRDefault="00B6275A" w:rsidP="00B6275A">
      <w:pPr>
        <w:pStyle w:val="Prrafodelista"/>
        <w:numPr>
          <w:ilvl w:val="0"/>
          <w:numId w:val="31"/>
        </w:numPr>
        <w:tabs>
          <w:tab w:val="left" w:pos="851"/>
          <w:tab w:val="left" w:pos="1276"/>
        </w:tabs>
        <w:ind w:left="1276" w:right="425" w:hanging="709"/>
        <w:jc w:val="both"/>
        <w:rPr>
          <w:rFonts w:ascii="Tahoma" w:hAnsi="Tahoma" w:cs="Tahoma"/>
          <w:sz w:val="22"/>
          <w:szCs w:val="22"/>
        </w:rPr>
      </w:pPr>
      <w:r w:rsidRPr="004E58BC">
        <w:rPr>
          <w:rFonts w:ascii="Tahoma" w:hAnsi="Tahoma" w:cs="Tahoma"/>
          <w:sz w:val="22"/>
          <w:szCs w:val="22"/>
        </w:rPr>
        <w:t>Determinar si</w:t>
      </w:r>
      <w:r>
        <w:rPr>
          <w:rFonts w:ascii="Tahoma" w:hAnsi="Tahoma" w:cs="Tahoma"/>
          <w:sz w:val="22"/>
          <w:szCs w:val="22"/>
        </w:rPr>
        <w:t xml:space="preserve"> corresponde </w:t>
      </w:r>
      <w:r w:rsidRPr="004E58BC">
        <w:rPr>
          <w:rFonts w:ascii="Tahoma" w:hAnsi="Tahoma" w:cs="Tahoma"/>
          <w:sz w:val="22"/>
          <w:szCs w:val="22"/>
        </w:rPr>
        <w:t>descalificar la propuesta técnica del Impugnante</w:t>
      </w:r>
      <w:r>
        <w:rPr>
          <w:rFonts w:ascii="Tahoma" w:hAnsi="Tahoma" w:cs="Tahoma"/>
          <w:sz w:val="22"/>
          <w:szCs w:val="22"/>
        </w:rPr>
        <w:t>, el Consorcio Rio Mayo,</w:t>
      </w:r>
      <w:r w:rsidRPr="004E58BC">
        <w:rPr>
          <w:rFonts w:ascii="Tahoma" w:hAnsi="Tahoma" w:cs="Tahoma"/>
          <w:sz w:val="22"/>
          <w:szCs w:val="22"/>
        </w:rPr>
        <w:t xml:space="preserve"> por no cumplir con los requerimientos técnicos mínimos </w:t>
      </w:r>
      <w:r>
        <w:rPr>
          <w:rFonts w:ascii="Tahoma" w:hAnsi="Tahoma" w:cs="Tahoma"/>
          <w:sz w:val="22"/>
          <w:szCs w:val="22"/>
        </w:rPr>
        <w:t>establecidos en l</w:t>
      </w:r>
      <w:r w:rsidRPr="004E58BC">
        <w:rPr>
          <w:rFonts w:ascii="Tahoma" w:hAnsi="Tahoma" w:cs="Tahoma"/>
          <w:sz w:val="22"/>
          <w:szCs w:val="22"/>
        </w:rPr>
        <w:t>as Bases in</w:t>
      </w:r>
      <w:r>
        <w:rPr>
          <w:rFonts w:ascii="Tahoma" w:hAnsi="Tahoma" w:cs="Tahoma"/>
          <w:sz w:val="22"/>
          <w:szCs w:val="22"/>
        </w:rPr>
        <w:t>tegradas.</w:t>
      </w:r>
    </w:p>
    <w:p w:rsidR="00B6275A" w:rsidRPr="004E58BC" w:rsidRDefault="00B6275A" w:rsidP="00B6275A">
      <w:pPr>
        <w:pStyle w:val="Default"/>
        <w:ind w:left="567"/>
        <w:jc w:val="both"/>
        <w:rPr>
          <w:color w:val="auto"/>
          <w:sz w:val="22"/>
          <w:szCs w:val="22"/>
        </w:rPr>
      </w:pPr>
    </w:p>
    <w:p w:rsidR="00B6275A" w:rsidRPr="004D7F87" w:rsidRDefault="00B6275A" w:rsidP="00B6275A">
      <w:pPr>
        <w:pStyle w:val="Prrafodelista"/>
        <w:tabs>
          <w:tab w:val="left" w:pos="567"/>
        </w:tabs>
        <w:autoSpaceDE w:val="0"/>
        <w:autoSpaceDN w:val="0"/>
        <w:adjustRightInd w:val="0"/>
        <w:ind w:left="360"/>
        <w:jc w:val="both"/>
        <w:rPr>
          <w:rFonts w:ascii="Tahoma" w:hAnsi="Tahoma" w:cs="Tahoma"/>
          <w:b/>
          <w:caps/>
          <w:shadow/>
          <w:sz w:val="22"/>
          <w:szCs w:val="22"/>
          <w:u w:val="single"/>
        </w:rPr>
      </w:pPr>
      <w:r w:rsidRPr="004D7F87">
        <w:rPr>
          <w:rFonts w:ascii="Tahoma" w:hAnsi="Tahoma" w:cs="Tahoma"/>
          <w:b/>
          <w:caps/>
          <w:shadow/>
          <w:sz w:val="22"/>
          <w:szCs w:val="22"/>
          <w:u w:val="single"/>
        </w:rPr>
        <w:t>PRIMER PUNTO CONTROVERTIDO: Del Beneficio de la Exoneración Tributaria</w:t>
      </w:r>
    </w:p>
    <w:p w:rsidR="00B6275A" w:rsidRPr="004E58BC" w:rsidRDefault="00B6275A" w:rsidP="00B6275A">
      <w:pPr>
        <w:pStyle w:val="Prrafodelista"/>
        <w:tabs>
          <w:tab w:val="left" w:pos="567"/>
        </w:tabs>
        <w:autoSpaceDE w:val="0"/>
        <w:autoSpaceDN w:val="0"/>
        <w:adjustRightInd w:val="0"/>
        <w:ind w:left="360"/>
        <w:jc w:val="both"/>
        <w:rPr>
          <w:rFonts w:ascii="Tahoma" w:hAnsi="Tahoma" w:cs="Tahoma"/>
          <w:sz w:val="22"/>
          <w:szCs w:val="22"/>
        </w:rPr>
      </w:pPr>
    </w:p>
    <w:p w:rsidR="00B6275A" w:rsidRDefault="00B6275A" w:rsidP="00B6275A">
      <w:pPr>
        <w:pStyle w:val="Prrafodelista"/>
        <w:numPr>
          <w:ilvl w:val="0"/>
          <w:numId w:val="1"/>
        </w:numPr>
        <w:tabs>
          <w:tab w:val="left" w:pos="284"/>
        </w:tabs>
        <w:autoSpaceDE w:val="0"/>
        <w:autoSpaceDN w:val="0"/>
        <w:adjustRightInd w:val="0"/>
        <w:ind w:left="426" w:hanging="426"/>
        <w:jc w:val="both"/>
        <w:rPr>
          <w:rFonts w:ascii="Tahoma" w:hAnsi="Tahoma" w:cs="Tahoma"/>
          <w:sz w:val="22"/>
          <w:szCs w:val="22"/>
        </w:rPr>
      </w:pPr>
      <w:r>
        <w:rPr>
          <w:rFonts w:ascii="Tahoma" w:hAnsi="Tahoma" w:cs="Tahoma"/>
          <w:sz w:val="22"/>
          <w:szCs w:val="22"/>
        </w:rPr>
        <w:t>En</w:t>
      </w:r>
      <w:r w:rsidRPr="004E58BC">
        <w:rPr>
          <w:rFonts w:ascii="Tahoma" w:hAnsi="Tahoma" w:cs="Tahoma"/>
          <w:sz w:val="22"/>
          <w:szCs w:val="22"/>
        </w:rPr>
        <w:t xml:space="preserve"> el Acta de Buena Pro, del 23 de marzo de 2011</w:t>
      </w:r>
      <w:r>
        <w:rPr>
          <w:rFonts w:ascii="Tahoma" w:hAnsi="Tahoma" w:cs="Tahoma"/>
          <w:sz w:val="22"/>
          <w:szCs w:val="22"/>
        </w:rPr>
        <w:t>,</w:t>
      </w:r>
      <w:r w:rsidRPr="004E58BC">
        <w:rPr>
          <w:rFonts w:ascii="Tahoma" w:hAnsi="Tahoma" w:cs="Tahoma"/>
          <w:sz w:val="22"/>
          <w:szCs w:val="22"/>
        </w:rPr>
        <w:t xml:space="preserve"> </w:t>
      </w:r>
      <w:r>
        <w:rPr>
          <w:rFonts w:ascii="Tahoma" w:hAnsi="Tahoma" w:cs="Tahoma"/>
          <w:sz w:val="22"/>
          <w:szCs w:val="22"/>
        </w:rPr>
        <w:t xml:space="preserve">obrante a folios, 031, 032 y 033 del expediente, </w:t>
      </w:r>
      <w:r w:rsidRPr="004E58BC">
        <w:rPr>
          <w:rFonts w:ascii="Tahoma" w:hAnsi="Tahoma" w:cs="Tahoma"/>
          <w:sz w:val="22"/>
          <w:szCs w:val="22"/>
        </w:rPr>
        <w:t xml:space="preserve">el Comité Especial determinó la descalificación del Impugnante, debido a que las empresas consorciadas tenían como domicilio la ciudad de Lima, no beneficiándose con la exoneración del IGV para las empresas </w:t>
      </w:r>
      <w:r w:rsidRPr="004E58BC">
        <w:rPr>
          <w:rFonts w:ascii="Tahoma" w:hAnsi="Tahoma" w:cs="Tahoma"/>
          <w:sz w:val="22"/>
          <w:szCs w:val="22"/>
        </w:rPr>
        <w:lastRenderedPageBreak/>
        <w:t>domiciliadas en la Amazonia, en ese sentido, el monto ofertado por el Impugnante se encontraba debajo del límite del 90% del valor referencial.</w:t>
      </w:r>
    </w:p>
    <w:p w:rsidR="00B6275A" w:rsidRDefault="00B6275A" w:rsidP="00B6275A">
      <w:pPr>
        <w:pStyle w:val="Prrafodelista"/>
        <w:tabs>
          <w:tab w:val="left" w:pos="567"/>
        </w:tabs>
        <w:autoSpaceDE w:val="0"/>
        <w:autoSpaceDN w:val="0"/>
        <w:adjustRightInd w:val="0"/>
        <w:ind w:left="360"/>
        <w:jc w:val="both"/>
        <w:rPr>
          <w:rFonts w:ascii="Tahoma" w:hAnsi="Tahoma" w:cs="Tahoma"/>
          <w:sz w:val="22"/>
          <w:szCs w:val="22"/>
        </w:rPr>
      </w:pPr>
    </w:p>
    <w:p w:rsidR="00B6275A" w:rsidRDefault="00B6275A" w:rsidP="00B6275A">
      <w:pPr>
        <w:pStyle w:val="Prrafodelista"/>
        <w:numPr>
          <w:ilvl w:val="0"/>
          <w:numId w:val="1"/>
        </w:numPr>
        <w:tabs>
          <w:tab w:val="left" w:pos="567"/>
        </w:tabs>
        <w:autoSpaceDE w:val="0"/>
        <w:autoSpaceDN w:val="0"/>
        <w:adjustRightInd w:val="0"/>
        <w:ind w:left="360" w:hanging="360"/>
        <w:jc w:val="both"/>
        <w:rPr>
          <w:rFonts w:ascii="Tahoma" w:hAnsi="Tahoma" w:cs="Tahoma"/>
          <w:sz w:val="22"/>
          <w:szCs w:val="22"/>
        </w:rPr>
      </w:pPr>
      <w:r>
        <w:rPr>
          <w:rFonts w:ascii="Tahoma" w:hAnsi="Tahoma" w:cs="Tahoma"/>
          <w:sz w:val="22"/>
          <w:szCs w:val="22"/>
        </w:rPr>
        <w:t>Asimismo, el tercero administrado, el Consorcio Bajo Huallaga en su escrito del 20 de abril señaló:</w:t>
      </w:r>
    </w:p>
    <w:p w:rsidR="00B6275A" w:rsidRPr="001E35E6" w:rsidRDefault="00B6275A" w:rsidP="00B6275A">
      <w:pPr>
        <w:pStyle w:val="Prrafodelista"/>
        <w:rPr>
          <w:rFonts w:ascii="Tahoma" w:hAnsi="Tahoma" w:cs="Tahoma"/>
          <w:sz w:val="22"/>
          <w:szCs w:val="22"/>
        </w:rPr>
      </w:pPr>
    </w:p>
    <w:p w:rsidR="00B6275A" w:rsidRDefault="00B6275A" w:rsidP="00A20614">
      <w:pPr>
        <w:pStyle w:val="Prrafodelista"/>
        <w:numPr>
          <w:ilvl w:val="4"/>
          <w:numId w:val="36"/>
        </w:numPr>
        <w:tabs>
          <w:tab w:val="left" w:pos="426"/>
        </w:tabs>
        <w:autoSpaceDE w:val="0"/>
        <w:autoSpaceDN w:val="0"/>
        <w:adjustRightInd w:val="0"/>
        <w:ind w:left="1418" w:hanging="992"/>
        <w:jc w:val="both"/>
        <w:rPr>
          <w:rFonts w:ascii="Tahoma" w:hAnsi="Tahoma" w:cs="Tahoma"/>
          <w:sz w:val="22"/>
          <w:szCs w:val="22"/>
        </w:rPr>
      </w:pPr>
      <w:r>
        <w:rPr>
          <w:rFonts w:ascii="Tahoma" w:hAnsi="Tahoma" w:cs="Tahoma"/>
          <w:sz w:val="22"/>
          <w:szCs w:val="22"/>
        </w:rPr>
        <w:t>Que el impugnante no ha acreditado de manera fehaciente tener la calidad de contribuyente en la Amazonia.</w:t>
      </w:r>
    </w:p>
    <w:p w:rsidR="00B6275A" w:rsidRDefault="00B6275A" w:rsidP="00A20614">
      <w:pPr>
        <w:pStyle w:val="Prrafodelista"/>
        <w:numPr>
          <w:ilvl w:val="4"/>
          <w:numId w:val="36"/>
        </w:numPr>
        <w:tabs>
          <w:tab w:val="left" w:pos="567"/>
        </w:tabs>
        <w:autoSpaceDE w:val="0"/>
        <w:autoSpaceDN w:val="0"/>
        <w:adjustRightInd w:val="0"/>
        <w:ind w:left="1418" w:hanging="992"/>
        <w:jc w:val="both"/>
        <w:rPr>
          <w:rFonts w:ascii="Tahoma" w:hAnsi="Tahoma" w:cs="Tahoma"/>
          <w:sz w:val="22"/>
          <w:szCs w:val="22"/>
        </w:rPr>
      </w:pPr>
      <w:r>
        <w:rPr>
          <w:rFonts w:ascii="Tahoma" w:hAnsi="Tahoma" w:cs="Tahoma"/>
          <w:sz w:val="22"/>
          <w:szCs w:val="22"/>
        </w:rPr>
        <w:t>Que a la fecha de la presentación de la propuesta económica el Impugnante no tenía la calidad de contribuyente en la Amazonia</w:t>
      </w:r>
    </w:p>
    <w:p w:rsidR="00B6275A" w:rsidRDefault="00B6275A" w:rsidP="00A20614">
      <w:pPr>
        <w:pStyle w:val="Prrafodelista"/>
        <w:numPr>
          <w:ilvl w:val="4"/>
          <w:numId w:val="36"/>
        </w:numPr>
        <w:tabs>
          <w:tab w:val="left" w:pos="567"/>
        </w:tabs>
        <w:autoSpaceDE w:val="0"/>
        <w:autoSpaceDN w:val="0"/>
        <w:adjustRightInd w:val="0"/>
        <w:ind w:left="1418" w:hanging="992"/>
        <w:jc w:val="both"/>
        <w:rPr>
          <w:rFonts w:ascii="Tahoma" w:hAnsi="Tahoma" w:cs="Tahoma"/>
          <w:sz w:val="22"/>
          <w:szCs w:val="22"/>
        </w:rPr>
      </w:pPr>
      <w:r>
        <w:rPr>
          <w:rFonts w:ascii="Tahoma" w:hAnsi="Tahoma" w:cs="Tahoma"/>
          <w:sz w:val="22"/>
          <w:szCs w:val="22"/>
        </w:rPr>
        <w:t>Que a la fecha de la presentación de su propuesta económica tenía consignado en Información General del Contribuyente en el ítem Condición de Domicilio Fiscal: Pendiente.</w:t>
      </w:r>
    </w:p>
    <w:p w:rsidR="00B6275A" w:rsidRDefault="00B6275A" w:rsidP="00A20614">
      <w:pPr>
        <w:pStyle w:val="Prrafodelista"/>
        <w:numPr>
          <w:ilvl w:val="4"/>
          <w:numId w:val="36"/>
        </w:numPr>
        <w:tabs>
          <w:tab w:val="left" w:pos="567"/>
        </w:tabs>
        <w:autoSpaceDE w:val="0"/>
        <w:autoSpaceDN w:val="0"/>
        <w:adjustRightInd w:val="0"/>
        <w:ind w:left="1418" w:hanging="992"/>
        <w:jc w:val="both"/>
        <w:rPr>
          <w:rFonts w:ascii="Tahoma" w:hAnsi="Tahoma" w:cs="Tahoma"/>
          <w:sz w:val="22"/>
          <w:szCs w:val="22"/>
        </w:rPr>
      </w:pPr>
      <w:r>
        <w:rPr>
          <w:rFonts w:ascii="Tahoma" w:hAnsi="Tahoma" w:cs="Tahoma"/>
          <w:sz w:val="22"/>
          <w:szCs w:val="22"/>
        </w:rPr>
        <w:t>Que en la clausula cuarta del contrato de consorcio los miembros del consorcio establecen que la Dirección Legal será en Jr. San Martin Nº 938 Barrio Partido Alto, Ciudad de Tarapoto, Provincia y Departamento de San Martin, sin embargo el requisito para la exoneración del pago del IGV es que el domicilio fiscal este ubicado en la Amazonia</w:t>
      </w:r>
    </w:p>
    <w:p w:rsidR="00B6275A" w:rsidRPr="00242631" w:rsidRDefault="00B6275A" w:rsidP="00B6275A">
      <w:pPr>
        <w:tabs>
          <w:tab w:val="left" w:pos="567"/>
        </w:tabs>
        <w:autoSpaceDE w:val="0"/>
        <w:autoSpaceDN w:val="0"/>
        <w:adjustRightInd w:val="0"/>
        <w:jc w:val="both"/>
        <w:rPr>
          <w:rFonts w:ascii="Tahoma" w:hAnsi="Tahoma" w:cs="Tahoma"/>
          <w:sz w:val="22"/>
          <w:szCs w:val="22"/>
        </w:rPr>
      </w:pPr>
    </w:p>
    <w:p w:rsidR="00B6275A" w:rsidRPr="004E58BC" w:rsidRDefault="00B6275A" w:rsidP="00B6275A">
      <w:pPr>
        <w:pStyle w:val="Prrafodelista"/>
        <w:numPr>
          <w:ilvl w:val="0"/>
          <w:numId w:val="1"/>
        </w:numPr>
        <w:tabs>
          <w:tab w:val="left" w:pos="567"/>
        </w:tabs>
        <w:autoSpaceDE w:val="0"/>
        <w:autoSpaceDN w:val="0"/>
        <w:adjustRightInd w:val="0"/>
        <w:ind w:left="360" w:hanging="360"/>
        <w:jc w:val="both"/>
        <w:rPr>
          <w:rFonts w:ascii="Tahoma" w:hAnsi="Tahoma" w:cs="Tahoma"/>
          <w:sz w:val="22"/>
          <w:szCs w:val="22"/>
        </w:rPr>
      </w:pPr>
      <w:r w:rsidRPr="004E58BC">
        <w:rPr>
          <w:rFonts w:ascii="Tahoma" w:hAnsi="Tahoma" w:cs="Tahoma"/>
          <w:sz w:val="22"/>
          <w:szCs w:val="22"/>
        </w:rPr>
        <w:t xml:space="preserve">A efectos de resolver </w:t>
      </w:r>
      <w:r>
        <w:rPr>
          <w:rFonts w:ascii="Tahoma" w:hAnsi="Tahoma" w:cs="Tahoma"/>
          <w:sz w:val="22"/>
          <w:szCs w:val="22"/>
        </w:rPr>
        <w:t>este</w:t>
      </w:r>
      <w:r w:rsidRPr="004E58BC">
        <w:rPr>
          <w:rFonts w:ascii="Tahoma" w:hAnsi="Tahoma" w:cs="Tahoma"/>
          <w:sz w:val="22"/>
          <w:szCs w:val="22"/>
        </w:rPr>
        <w:t xml:space="preserve"> punto controvertido, </w:t>
      </w:r>
      <w:r>
        <w:rPr>
          <w:rFonts w:ascii="Tahoma" w:hAnsi="Tahoma" w:cs="Tahoma"/>
          <w:sz w:val="22"/>
          <w:szCs w:val="22"/>
        </w:rPr>
        <w:t>debe indicarse que e</w:t>
      </w:r>
      <w:r w:rsidRPr="004E58BC">
        <w:rPr>
          <w:rFonts w:ascii="Tahoma" w:hAnsi="Tahoma" w:cs="Tahoma"/>
          <w:sz w:val="22"/>
          <w:szCs w:val="22"/>
        </w:rPr>
        <w:t xml:space="preserve">l Consorcio Rio Mayo manifestó que con fecha 21 de marzo de 2011,  un día antes de la presentación de propuestas cumplió con tener un domicilio fiscal en la Amazonía, y </w:t>
      </w:r>
      <w:r>
        <w:rPr>
          <w:rFonts w:ascii="Tahoma" w:hAnsi="Tahoma" w:cs="Tahoma"/>
          <w:sz w:val="22"/>
          <w:szCs w:val="22"/>
        </w:rPr>
        <w:t xml:space="preserve">que </w:t>
      </w:r>
      <w:r w:rsidRPr="004E58BC">
        <w:rPr>
          <w:rFonts w:ascii="Tahoma" w:hAnsi="Tahoma" w:cs="Tahoma"/>
          <w:sz w:val="22"/>
          <w:szCs w:val="22"/>
        </w:rPr>
        <w:t>por tanto goza del beneficio de ser un consorcio conformado en la zona de Selva, por lo que les alcanza los beneficios de la Ley Nº 27037, por ende considera como arbitraria o injusta la descalificación de su propuesta.</w:t>
      </w:r>
    </w:p>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numPr>
          <w:ilvl w:val="0"/>
          <w:numId w:val="1"/>
        </w:numPr>
        <w:tabs>
          <w:tab w:val="left" w:pos="567"/>
        </w:tabs>
        <w:autoSpaceDE w:val="0"/>
        <w:autoSpaceDN w:val="0"/>
        <w:adjustRightInd w:val="0"/>
        <w:ind w:left="360" w:hanging="360"/>
        <w:jc w:val="both"/>
        <w:rPr>
          <w:rFonts w:ascii="Tahoma" w:hAnsi="Tahoma" w:cs="Tahoma"/>
          <w:sz w:val="22"/>
          <w:szCs w:val="22"/>
        </w:rPr>
      </w:pPr>
      <w:r w:rsidRPr="00794292">
        <w:rPr>
          <w:rFonts w:ascii="Tahoma" w:hAnsi="Tahoma" w:cs="Tahoma"/>
          <w:sz w:val="22"/>
          <w:szCs w:val="22"/>
        </w:rPr>
        <w:t>En torno a ello, es preciso establecer que el asunto en discusión no está referido a la situación de cada uno de los miembros del consorcio en particular, sino a la situación tributaria del consorcio mismo, a efectos de determinar si le corresponde el beneficio tributario de la exoneración del I.G.V., de manera que bajo este contexto se procede a examinar la  controversia.</w:t>
      </w:r>
    </w:p>
    <w:p w:rsidR="00B6275A" w:rsidRPr="00794292" w:rsidRDefault="00B6275A" w:rsidP="00B6275A">
      <w:pPr>
        <w:pStyle w:val="Prrafodelista"/>
        <w:rPr>
          <w:rFonts w:ascii="Tahoma" w:hAnsi="Tahoma" w:cs="Tahoma"/>
          <w:sz w:val="22"/>
          <w:szCs w:val="22"/>
        </w:rPr>
      </w:pPr>
    </w:p>
    <w:p w:rsidR="00B6275A" w:rsidRDefault="00B6275A" w:rsidP="00B6275A">
      <w:pPr>
        <w:pStyle w:val="Prrafodelista"/>
        <w:numPr>
          <w:ilvl w:val="0"/>
          <w:numId w:val="1"/>
        </w:numPr>
        <w:tabs>
          <w:tab w:val="left" w:pos="567"/>
        </w:tabs>
        <w:autoSpaceDE w:val="0"/>
        <w:autoSpaceDN w:val="0"/>
        <w:adjustRightInd w:val="0"/>
        <w:ind w:left="360" w:hanging="360"/>
        <w:jc w:val="both"/>
        <w:rPr>
          <w:rFonts w:ascii="Tahoma" w:hAnsi="Tahoma" w:cs="Tahoma"/>
          <w:sz w:val="22"/>
          <w:szCs w:val="22"/>
        </w:rPr>
      </w:pPr>
      <w:r w:rsidRPr="00794292">
        <w:rPr>
          <w:rFonts w:ascii="Tahoma" w:hAnsi="Tahoma" w:cs="Tahoma"/>
          <w:sz w:val="22"/>
          <w:szCs w:val="22"/>
        </w:rPr>
        <w:t xml:space="preserve">En el presente caso, el Consorcio impugnante está conformado por las empresas Math Construcción Y Consultoría SAC, Ingeniería Corporativa Contratistas Generales SAC y HCB Contratistas Generales SRLtda., y conforme obra en el folio </w:t>
      </w:r>
      <w:r>
        <w:rPr>
          <w:rFonts w:ascii="Tahoma" w:hAnsi="Tahoma" w:cs="Tahoma"/>
          <w:sz w:val="22"/>
          <w:szCs w:val="22"/>
        </w:rPr>
        <w:t>361</w:t>
      </w:r>
      <w:r w:rsidRPr="00794292">
        <w:rPr>
          <w:rFonts w:ascii="Tahoma" w:hAnsi="Tahoma" w:cs="Tahoma"/>
          <w:sz w:val="22"/>
          <w:szCs w:val="22"/>
        </w:rPr>
        <w:t xml:space="preserve"> y </w:t>
      </w:r>
      <w:r>
        <w:rPr>
          <w:rFonts w:ascii="Tahoma" w:hAnsi="Tahoma" w:cs="Tahoma"/>
          <w:sz w:val="22"/>
          <w:szCs w:val="22"/>
        </w:rPr>
        <w:t>362</w:t>
      </w:r>
      <w:r w:rsidRPr="00794292">
        <w:rPr>
          <w:rFonts w:ascii="Tahoma" w:hAnsi="Tahoma" w:cs="Tahoma"/>
          <w:sz w:val="22"/>
          <w:szCs w:val="22"/>
        </w:rPr>
        <w:t xml:space="preserve"> de su propuesta técnica y de la información remitida ante esta instancia (Comprobante de Información registrada emitida por Sunat</w:t>
      </w:r>
      <w:r>
        <w:rPr>
          <w:rFonts w:ascii="Tahoma" w:hAnsi="Tahoma" w:cs="Tahoma"/>
          <w:sz w:val="22"/>
          <w:szCs w:val="22"/>
        </w:rPr>
        <w:t>)</w:t>
      </w:r>
      <w:r w:rsidRPr="00794292">
        <w:rPr>
          <w:rFonts w:ascii="Tahoma" w:hAnsi="Tahoma" w:cs="Tahoma"/>
          <w:sz w:val="22"/>
          <w:szCs w:val="22"/>
        </w:rPr>
        <w:t>, el día 21 de marzo de 2011 obtuvo su inscripción ante el Registro Único de Contribuyentes (RUC) como consorcio, tal como se describe a continuación:</w:t>
      </w:r>
    </w:p>
    <w:p w:rsidR="00B6275A" w:rsidRDefault="00B6275A" w:rsidP="00B6275A">
      <w:pPr>
        <w:pStyle w:val="Prrafodelista"/>
        <w:rPr>
          <w:rFonts w:ascii="Tahoma" w:hAnsi="Tahoma" w:cs="Tahoma"/>
          <w:sz w:val="22"/>
          <w:szCs w:val="22"/>
        </w:rPr>
      </w:pPr>
    </w:p>
    <w:p w:rsidR="00A20614" w:rsidRDefault="00A20614" w:rsidP="00B6275A">
      <w:pPr>
        <w:pStyle w:val="Prrafodelista"/>
        <w:rPr>
          <w:rFonts w:ascii="Tahoma" w:hAnsi="Tahoma" w:cs="Tahoma"/>
          <w:sz w:val="22"/>
          <w:szCs w:val="22"/>
        </w:rPr>
      </w:pPr>
    </w:p>
    <w:p w:rsidR="00A20614" w:rsidRDefault="00A20614" w:rsidP="00B6275A">
      <w:pPr>
        <w:pStyle w:val="Prrafodelista"/>
        <w:rPr>
          <w:rFonts w:ascii="Tahoma" w:hAnsi="Tahoma" w:cs="Tahoma"/>
          <w:sz w:val="22"/>
          <w:szCs w:val="22"/>
        </w:rPr>
      </w:pPr>
    </w:p>
    <w:p w:rsidR="00A20614" w:rsidRDefault="00A20614" w:rsidP="00B6275A">
      <w:pPr>
        <w:pStyle w:val="Prrafodelista"/>
        <w:rPr>
          <w:rFonts w:ascii="Tahoma" w:hAnsi="Tahoma" w:cs="Tahoma"/>
          <w:sz w:val="22"/>
          <w:szCs w:val="22"/>
        </w:rPr>
      </w:pPr>
    </w:p>
    <w:p w:rsidR="00A20614" w:rsidRPr="00AF6AEF" w:rsidRDefault="00A20614" w:rsidP="00B6275A">
      <w:pPr>
        <w:pStyle w:val="Prrafodelista"/>
        <w:rPr>
          <w:rFonts w:ascii="Tahoma" w:hAnsi="Tahoma" w:cs="Tahoma"/>
          <w:sz w:val="22"/>
          <w:szCs w:val="22"/>
        </w:rPr>
      </w:pPr>
    </w:p>
    <w:p w:rsidR="00B6275A" w:rsidRPr="00794292" w:rsidRDefault="00B6275A" w:rsidP="00B6275A">
      <w:pPr>
        <w:pStyle w:val="Prrafodelista"/>
        <w:tabs>
          <w:tab w:val="left" w:pos="567"/>
        </w:tabs>
        <w:autoSpaceDE w:val="0"/>
        <w:autoSpaceDN w:val="0"/>
        <w:adjustRightInd w:val="0"/>
        <w:ind w:left="360"/>
        <w:jc w:val="both"/>
        <w:rPr>
          <w:rFonts w:ascii="Tahoma" w:hAnsi="Tahoma" w:cs="Tahoma"/>
          <w:sz w:val="22"/>
          <w:szCs w:val="22"/>
        </w:rPr>
      </w:pPr>
    </w:p>
    <w:p w:rsidR="00B6275A" w:rsidRPr="00794292" w:rsidRDefault="00B6275A" w:rsidP="00B6275A">
      <w:pPr>
        <w:ind w:left="3540"/>
        <w:jc w:val="both"/>
        <w:rPr>
          <w:rFonts w:ascii="Tahoma" w:hAnsi="Tahoma" w:cs="Tahoma"/>
          <w:b/>
          <w:sz w:val="22"/>
          <w:szCs w:val="22"/>
        </w:rPr>
      </w:pPr>
      <w:r w:rsidRPr="00794292">
        <w:rPr>
          <w:rFonts w:ascii="Tahoma" w:hAnsi="Tahoma" w:cs="Tahoma"/>
          <w:b/>
          <w:sz w:val="22"/>
          <w:szCs w:val="22"/>
        </w:rPr>
        <w:lastRenderedPageBreak/>
        <w:t xml:space="preserve">     Formulario 2216</w:t>
      </w:r>
    </w:p>
    <w:p w:rsidR="00B6275A" w:rsidRPr="00794292" w:rsidRDefault="00B6275A" w:rsidP="00B6275A">
      <w:pPr>
        <w:ind w:left="2124" w:firstLine="708"/>
        <w:jc w:val="both"/>
        <w:rPr>
          <w:rFonts w:ascii="Tahoma" w:hAnsi="Tahoma" w:cs="Tahoma"/>
          <w:b/>
          <w:sz w:val="22"/>
          <w:szCs w:val="22"/>
        </w:rPr>
      </w:pPr>
      <w:r w:rsidRPr="00794292">
        <w:rPr>
          <w:rFonts w:ascii="Tahoma" w:hAnsi="Tahoma" w:cs="Tahoma"/>
          <w:b/>
          <w:sz w:val="22"/>
          <w:szCs w:val="22"/>
        </w:rPr>
        <w:t>Comprobante de información registrada</w:t>
      </w:r>
    </w:p>
    <w:p w:rsidR="00B6275A" w:rsidRPr="00794292" w:rsidRDefault="00B6275A" w:rsidP="00B6275A">
      <w:pPr>
        <w:jc w:val="both"/>
        <w:rPr>
          <w:rFonts w:ascii="Tahoma" w:hAnsi="Tahoma" w:cs="Tahoma"/>
          <w:sz w:val="22"/>
          <w:szCs w:val="22"/>
        </w:rPr>
      </w:pPr>
    </w:p>
    <w:tbl>
      <w:tblPr>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690"/>
      </w:tblGrid>
      <w:tr w:rsidR="00B6275A" w:rsidRPr="00794292" w:rsidTr="005C4B97">
        <w:tc>
          <w:tcPr>
            <w:tcW w:w="6291" w:type="dxa"/>
          </w:tcPr>
          <w:p w:rsidR="00B6275A" w:rsidRPr="00794292" w:rsidRDefault="00B6275A" w:rsidP="005C4B97">
            <w:pPr>
              <w:jc w:val="both"/>
              <w:rPr>
                <w:rFonts w:ascii="Tahoma" w:hAnsi="Tahoma" w:cs="Tahoma"/>
              </w:rPr>
            </w:pPr>
            <w:r w:rsidRPr="00794292">
              <w:rPr>
                <w:rFonts w:ascii="Tahoma" w:hAnsi="Tahoma" w:cs="Tahoma"/>
                <w:sz w:val="22"/>
                <w:szCs w:val="22"/>
              </w:rPr>
              <w:t xml:space="preserve">                                                             </w:t>
            </w:r>
          </w:p>
          <w:p w:rsidR="00B6275A" w:rsidRPr="00794292" w:rsidRDefault="00B6275A" w:rsidP="005C4B97">
            <w:pPr>
              <w:jc w:val="center"/>
              <w:rPr>
                <w:rFonts w:ascii="Tahoma" w:hAnsi="Tahoma" w:cs="Tahoma"/>
              </w:rPr>
            </w:pPr>
            <w:r w:rsidRPr="00794292">
              <w:rPr>
                <w:rFonts w:ascii="Tahoma" w:hAnsi="Tahoma" w:cs="Tahoma"/>
                <w:sz w:val="22"/>
                <w:szCs w:val="22"/>
              </w:rPr>
              <w:t>Lote     : 19599</w:t>
            </w:r>
          </w:p>
          <w:p w:rsidR="00B6275A" w:rsidRPr="00794292" w:rsidRDefault="00B6275A" w:rsidP="005C4B97">
            <w:pPr>
              <w:jc w:val="center"/>
              <w:rPr>
                <w:rFonts w:ascii="Tahoma" w:hAnsi="Tahoma" w:cs="Tahoma"/>
              </w:rPr>
            </w:pPr>
            <w:r w:rsidRPr="00794292">
              <w:rPr>
                <w:rFonts w:ascii="Tahoma" w:hAnsi="Tahoma" w:cs="Tahoma"/>
                <w:sz w:val="22"/>
                <w:szCs w:val="22"/>
              </w:rPr>
              <w:t>Folio    :    7</w:t>
            </w:r>
          </w:p>
          <w:p w:rsidR="00B6275A" w:rsidRPr="00794292" w:rsidRDefault="00B6275A" w:rsidP="005C4B97">
            <w:pPr>
              <w:jc w:val="center"/>
              <w:rPr>
                <w:rFonts w:ascii="Tahoma" w:hAnsi="Tahoma" w:cs="Tahoma"/>
              </w:rPr>
            </w:pPr>
            <w:r w:rsidRPr="00794292">
              <w:rPr>
                <w:rFonts w:ascii="Tahoma" w:hAnsi="Tahoma" w:cs="Tahoma"/>
                <w:sz w:val="22"/>
                <w:szCs w:val="22"/>
              </w:rPr>
              <w:t>RUC     : 20493981235</w:t>
            </w:r>
          </w:p>
          <w:p w:rsidR="00B6275A" w:rsidRPr="00794292" w:rsidRDefault="00B6275A" w:rsidP="005C4B97">
            <w:pPr>
              <w:jc w:val="both"/>
              <w:rPr>
                <w:rFonts w:ascii="Tahoma" w:hAnsi="Tahoma" w:cs="Tahoma"/>
              </w:rPr>
            </w:pPr>
            <w:r w:rsidRPr="00794292">
              <w:rPr>
                <w:rFonts w:ascii="Tahoma" w:hAnsi="Tahoma" w:cs="Tahoma"/>
                <w:sz w:val="22"/>
                <w:szCs w:val="22"/>
              </w:rPr>
              <w:t xml:space="preserve">    ------------------------------------------------------------------------</w:t>
            </w:r>
          </w:p>
          <w:p w:rsidR="00B6275A" w:rsidRPr="00794292" w:rsidRDefault="00B6275A" w:rsidP="005C4B97">
            <w:pPr>
              <w:jc w:val="center"/>
              <w:rPr>
                <w:rFonts w:ascii="Tahoma" w:hAnsi="Tahoma" w:cs="Tahoma"/>
              </w:rPr>
            </w:pPr>
            <w:r w:rsidRPr="00794292">
              <w:rPr>
                <w:rFonts w:ascii="Tahoma" w:hAnsi="Tahoma" w:cs="Tahoma"/>
                <w:sz w:val="22"/>
                <w:szCs w:val="22"/>
              </w:rPr>
              <w:t>Información General</w:t>
            </w:r>
          </w:p>
          <w:p w:rsidR="00B6275A" w:rsidRPr="00794292" w:rsidRDefault="00B6275A" w:rsidP="005C4B97">
            <w:pPr>
              <w:jc w:val="center"/>
              <w:rPr>
                <w:rFonts w:ascii="Tahoma" w:hAnsi="Tahoma" w:cs="Tahoma"/>
              </w:rPr>
            </w:pPr>
          </w:p>
          <w:p w:rsidR="00B6275A" w:rsidRPr="00794292" w:rsidRDefault="00B6275A" w:rsidP="005C4B97">
            <w:pPr>
              <w:ind w:left="18"/>
              <w:jc w:val="both"/>
              <w:rPr>
                <w:rFonts w:ascii="Tahoma" w:hAnsi="Tahoma" w:cs="Tahoma"/>
              </w:rPr>
            </w:pPr>
            <w:r w:rsidRPr="00794292">
              <w:rPr>
                <w:rFonts w:ascii="Tahoma" w:hAnsi="Tahoma" w:cs="Tahoma"/>
                <w:sz w:val="22"/>
                <w:szCs w:val="22"/>
              </w:rPr>
              <w:t xml:space="preserve">Fecha de inscripción: 21/03/2011                                    </w:t>
            </w:r>
          </w:p>
          <w:p w:rsidR="00B6275A" w:rsidRPr="00794292" w:rsidRDefault="00B6275A" w:rsidP="005C4B97">
            <w:pPr>
              <w:ind w:left="18"/>
              <w:jc w:val="both"/>
              <w:rPr>
                <w:rFonts w:ascii="Tahoma" w:hAnsi="Tahoma" w:cs="Tahoma"/>
              </w:rPr>
            </w:pPr>
            <w:r w:rsidRPr="00794292">
              <w:rPr>
                <w:rFonts w:ascii="Tahoma" w:hAnsi="Tahoma" w:cs="Tahoma"/>
                <w:sz w:val="22"/>
                <w:szCs w:val="22"/>
              </w:rPr>
              <w:t>Nombre o razón social: Consorcio Rio Mayo</w:t>
            </w:r>
          </w:p>
          <w:p w:rsidR="00B6275A" w:rsidRPr="00794292" w:rsidRDefault="00B6275A" w:rsidP="005C4B97">
            <w:pPr>
              <w:jc w:val="both"/>
              <w:rPr>
                <w:rFonts w:ascii="Tahoma" w:hAnsi="Tahoma" w:cs="Tahoma"/>
              </w:rPr>
            </w:pPr>
            <w:r w:rsidRPr="00794292">
              <w:rPr>
                <w:rFonts w:ascii="Tahoma" w:hAnsi="Tahoma" w:cs="Tahoma"/>
                <w:sz w:val="22"/>
                <w:szCs w:val="22"/>
              </w:rPr>
              <w:t xml:space="preserve">-----------------------------------------------------------------------------   </w:t>
            </w:r>
          </w:p>
          <w:p w:rsidR="00B6275A" w:rsidRPr="00794292" w:rsidRDefault="00B6275A" w:rsidP="005C4B97">
            <w:pPr>
              <w:jc w:val="center"/>
              <w:rPr>
                <w:rFonts w:ascii="Tahoma" w:hAnsi="Tahoma" w:cs="Tahoma"/>
              </w:rPr>
            </w:pPr>
            <w:r w:rsidRPr="00794292">
              <w:rPr>
                <w:rFonts w:ascii="Tahoma" w:hAnsi="Tahoma" w:cs="Tahoma"/>
                <w:sz w:val="22"/>
                <w:szCs w:val="22"/>
              </w:rPr>
              <w:t>Domicilio fiscal</w:t>
            </w:r>
          </w:p>
          <w:p w:rsidR="00B6275A" w:rsidRPr="00794292" w:rsidRDefault="00B6275A" w:rsidP="005C4B97">
            <w:pPr>
              <w:jc w:val="both"/>
              <w:rPr>
                <w:rFonts w:ascii="Tahoma" w:hAnsi="Tahoma" w:cs="Tahoma"/>
              </w:rPr>
            </w:pPr>
            <w:r w:rsidRPr="00794292">
              <w:rPr>
                <w:rFonts w:ascii="Tahoma" w:hAnsi="Tahoma" w:cs="Tahoma"/>
                <w:sz w:val="22"/>
                <w:szCs w:val="22"/>
              </w:rPr>
              <w:t>Departamento: 22-San Martin</w:t>
            </w:r>
          </w:p>
          <w:p w:rsidR="00B6275A" w:rsidRPr="00794292" w:rsidRDefault="00B6275A" w:rsidP="005C4B97">
            <w:pPr>
              <w:jc w:val="both"/>
              <w:rPr>
                <w:rFonts w:ascii="Tahoma" w:hAnsi="Tahoma" w:cs="Tahoma"/>
              </w:rPr>
            </w:pPr>
            <w:r w:rsidRPr="00794292">
              <w:rPr>
                <w:rFonts w:ascii="Tahoma" w:hAnsi="Tahoma" w:cs="Tahoma"/>
                <w:sz w:val="22"/>
                <w:szCs w:val="22"/>
              </w:rPr>
              <w:t>Provincial: 2209-San Martin</w:t>
            </w:r>
          </w:p>
          <w:p w:rsidR="00B6275A" w:rsidRPr="00794292" w:rsidRDefault="00B6275A" w:rsidP="005C4B97">
            <w:pPr>
              <w:jc w:val="both"/>
              <w:rPr>
                <w:rFonts w:ascii="Tahoma" w:hAnsi="Tahoma" w:cs="Tahoma"/>
              </w:rPr>
            </w:pPr>
            <w:r w:rsidRPr="00794292">
              <w:rPr>
                <w:rFonts w:ascii="Tahoma" w:hAnsi="Tahoma" w:cs="Tahoma"/>
                <w:sz w:val="22"/>
                <w:szCs w:val="22"/>
              </w:rPr>
              <w:t>Distrito: 220901-Tarapoto</w:t>
            </w:r>
          </w:p>
          <w:p w:rsidR="00B6275A" w:rsidRPr="00794292" w:rsidRDefault="00B6275A" w:rsidP="005C4B97">
            <w:pPr>
              <w:jc w:val="both"/>
              <w:rPr>
                <w:rFonts w:ascii="Tahoma" w:hAnsi="Tahoma" w:cs="Tahoma"/>
              </w:rPr>
            </w:pPr>
            <w:r w:rsidRPr="00794292">
              <w:rPr>
                <w:rFonts w:ascii="Tahoma" w:hAnsi="Tahoma" w:cs="Tahoma"/>
                <w:sz w:val="22"/>
                <w:szCs w:val="22"/>
              </w:rPr>
              <w:t xml:space="preserve">Nombre de vía: 02-Jiron San Martin </w:t>
            </w:r>
          </w:p>
          <w:p w:rsidR="00B6275A" w:rsidRPr="00794292" w:rsidRDefault="00B6275A" w:rsidP="005C4B97">
            <w:pPr>
              <w:jc w:val="both"/>
              <w:rPr>
                <w:rFonts w:ascii="Tahoma" w:hAnsi="Tahoma" w:cs="Tahoma"/>
              </w:rPr>
            </w:pPr>
            <w:r w:rsidRPr="00794292">
              <w:rPr>
                <w:rFonts w:ascii="Tahoma" w:hAnsi="Tahoma" w:cs="Tahoma"/>
                <w:sz w:val="22"/>
                <w:szCs w:val="22"/>
              </w:rPr>
              <w:t>Nº: 938</w:t>
            </w:r>
          </w:p>
          <w:p w:rsidR="00B6275A" w:rsidRPr="00794292" w:rsidRDefault="00B6275A" w:rsidP="005C4B97">
            <w:pPr>
              <w:jc w:val="both"/>
              <w:rPr>
                <w:rFonts w:ascii="Tahoma" w:hAnsi="Tahoma" w:cs="Tahoma"/>
              </w:rPr>
            </w:pPr>
            <w:r w:rsidRPr="00794292">
              <w:rPr>
                <w:rFonts w:ascii="Tahoma" w:hAnsi="Tahoma" w:cs="Tahoma"/>
                <w:sz w:val="22"/>
                <w:szCs w:val="22"/>
              </w:rPr>
              <w:t>---------------------------------------------------------------------------------</w:t>
            </w:r>
          </w:p>
          <w:p w:rsidR="00B6275A" w:rsidRPr="00794292" w:rsidRDefault="00B6275A" w:rsidP="005C4B97">
            <w:pPr>
              <w:jc w:val="center"/>
              <w:rPr>
                <w:rFonts w:ascii="Tahoma" w:hAnsi="Tahoma" w:cs="Tahoma"/>
              </w:rPr>
            </w:pPr>
            <w:r w:rsidRPr="00794292">
              <w:rPr>
                <w:rFonts w:ascii="Tahoma" w:hAnsi="Tahoma" w:cs="Tahoma"/>
                <w:sz w:val="22"/>
                <w:szCs w:val="22"/>
              </w:rPr>
              <w:t>Registro de Tributos Afectos</w:t>
            </w:r>
          </w:p>
          <w:p w:rsidR="00B6275A" w:rsidRPr="00794292" w:rsidRDefault="00B6275A" w:rsidP="005C4B97">
            <w:pPr>
              <w:jc w:val="both"/>
              <w:rPr>
                <w:rFonts w:ascii="Tahoma" w:hAnsi="Tahoma" w:cs="Tahoma"/>
              </w:rPr>
            </w:pPr>
            <w:r w:rsidRPr="00794292">
              <w:rPr>
                <w:rFonts w:ascii="Tahoma" w:hAnsi="Tahoma" w:cs="Tahoma"/>
                <w:sz w:val="22"/>
                <w:szCs w:val="22"/>
              </w:rPr>
              <w:t>Renta – 3ra Categoría  - Cuenta Propia                21/03/2011</w:t>
            </w:r>
          </w:p>
          <w:p w:rsidR="00B6275A" w:rsidRPr="00794292" w:rsidRDefault="00B6275A" w:rsidP="005C4B97">
            <w:pPr>
              <w:jc w:val="both"/>
              <w:rPr>
                <w:rFonts w:ascii="Tahoma" w:hAnsi="Tahoma" w:cs="Tahoma"/>
              </w:rPr>
            </w:pPr>
          </w:p>
        </w:tc>
      </w:tr>
    </w:tbl>
    <w:p w:rsidR="00B6275A" w:rsidRPr="00794292" w:rsidRDefault="00B6275A" w:rsidP="00B6275A">
      <w:pPr>
        <w:pStyle w:val="Prrafodelista"/>
        <w:rPr>
          <w:rFonts w:ascii="Tahoma" w:hAnsi="Tahoma" w:cs="Tahoma"/>
          <w:sz w:val="22"/>
          <w:szCs w:val="22"/>
        </w:rPr>
      </w:pPr>
    </w:p>
    <w:p w:rsidR="00B6275A" w:rsidRPr="00794292" w:rsidRDefault="00B6275A" w:rsidP="00B6275A">
      <w:pPr>
        <w:pStyle w:val="Prrafodelista"/>
        <w:rPr>
          <w:rFonts w:ascii="Tahoma" w:hAnsi="Tahoma" w:cs="Tahoma"/>
          <w:sz w:val="22"/>
          <w:szCs w:val="22"/>
        </w:rPr>
      </w:pPr>
    </w:p>
    <w:p w:rsidR="00B6275A" w:rsidRPr="00794292" w:rsidRDefault="00B6275A" w:rsidP="00B6275A">
      <w:pPr>
        <w:numPr>
          <w:ilvl w:val="0"/>
          <w:numId w:val="1"/>
        </w:numPr>
        <w:ind w:left="426" w:hanging="426"/>
        <w:jc w:val="both"/>
        <w:rPr>
          <w:rFonts w:ascii="Tahoma" w:hAnsi="Tahoma" w:cs="Tahoma"/>
          <w:sz w:val="22"/>
          <w:szCs w:val="22"/>
        </w:rPr>
      </w:pPr>
      <w:r w:rsidRPr="00794292">
        <w:rPr>
          <w:rFonts w:ascii="Tahoma" w:hAnsi="Tahoma" w:cs="Tahoma"/>
          <w:sz w:val="22"/>
          <w:szCs w:val="22"/>
        </w:rPr>
        <w:t xml:space="preserve">Al respecto, el numeral 2) de la Quinta Disposición Final del Reglamento de la Ley de Contrataciones y Adquisiciones del Estado contempla lo siguiente: </w:t>
      </w:r>
    </w:p>
    <w:p w:rsidR="00B6275A" w:rsidRPr="00794292" w:rsidRDefault="00B6275A" w:rsidP="00B6275A">
      <w:pPr>
        <w:ind w:left="426"/>
        <w:jc w:val="both"/>
        <w:rPr>
          <w:rFonts w:ascii="Tahoma" w:hAnsi="Tahoma" w:cs="Tahoma"/>
          <w:sz w:val="22"/>
          <w:szCs w:val="22"/>
        </w:rPr>
      </w:pPr>
    </w:p>
    <w:p w:rsidR="00B6275A" w:rsidRPr="000300BD" w:rsidRDefault="00B6275A" w:rsidP="00B6275A">
      <w:pPr>
        <w:ind w:left="426"/>
        <w:jc w:val="both"/>
        <w:rPr>
          <w:rFonts w:ascii="Tahoma" w:hAnsi="Tahoma" w:cs="Tahoma"/>
          <w:sz w:val="22"/>
          <w:szCs w:val="22"/>
        </w:rPr>
      </w:pPr>
      <w:r w:rsidRPr="00794292">
        <w:rPr>
          <w:rFonts w:ascii="Tahoma" w:hAnsi="Tahoma" w:cs="Tahoma"/>
          <w:i/>
          <w:sz w:val="22"/>
          <w:szCs w:val="22"/>
        </w:rPr>
        <w:t>“El postor que goza de la exoneración prevista en la Ley Nº 27037, Ley de Promoción de la Inversión en la Amazonía, formulará su propuesta económica teniendo en cuenta exclusivamente el total de los conceptos que conforman el valor referencial, excluido el Impuesto General a las Ventas (IGV).</w:t>
      </w:r>
    </w:p>
    <w:p w:rsidR="00B6275A" w:rsidRPr="00794292" w:rsidRDefault="00B6275A" w:rsidP="00B6275A">
      <w:pPr>
        <w:ind w:left="360"/>
        <w:jc w:val="both"/>
        <w:rPr>
          <w:rFonts w:ascii="Tahoma" w:hAnsi="Tahoma" w:cs="Tahoma"/>
          <w:sz w:val="22"/>
          <w:szCs w:val="22"/>
        </w:rPr>
      </w:pPr>
      <w:r w:rsidRPr="00794292">
        <w:rPr>
          <w:rFonts w:ascii="Tahoma" w:hAnsi="Tahoma" w:cs="Tahoma"/>
          <w:i/>
          <w:sz w:val="22"/>
          <w:szCs w:val="22"/>
        </w:rPr>
        <w:t xml:space="preserve">La verificación respecto de que las propuestas económicas se encuentran dentro de los límites establecidos en el artículo 33º de la Ley, se efectuará sobre el total de los conceptos que conforman el valor referencial excluido el Impuesto General a las Ventas (IGV). </w:t>
      </w:r>
    </w:p>
    <w:p w:rsidR="00B6275A" w:rsidRPr="00794292" w:rsidRDefault="00B6275A" w:rsidP="00B6275A">
      <w:pPr>
        <w:ind w:left="360"/>
        <w:jc w:val="both"/>
        <w:rPr>
          <w:rFonts w:ascii="Tahoma" w:hAnsi="Tahoma" w:cs="Tahoma"/>
          <w:sz w:val="22"/>
          <w:szCs w:val="22"/>
        </w:rPr>
      </w:pPr>
      <w:r w:rsidRPr="00794292">
        <w:rPr>
          <w:rFonts w:ascii="Tahoma" w:hAnsi="Tahoma" w:cs="Tahoma"/>
          <w:i/>
          <w:sz w:val="22"/>
          <w:szCs w:val="22"/>
        </w:rPr>
        <w:t>El cumplimiento de lo señalado constituye requisito de admisibilidad de la propuesta”</w:t>
      </w:r>
      <w:r w:rsidRPr="00794292">
        <w:rPr>
          <w:rFonts w:ascii="Tahoma" w:hAnsi="Tahoma" w:cs="Tahoma"/>
          <w:sz w:val="22"/>
          <w:szCs w:val="22"/>
        </w:rPr>
        <w:t>.</w:t>
      </w:r>
    </w:p>
    <w:p w:rsidR="00B6275A" w:rsidRPr="00794292" w:rsidRDefault="00B6275A" w:rsidP="00B6275A">
      <w:pPr>
        <w:ind w:left="360"/>
        <w:jc w:val="both"/>
        <w:rPr>
          <w:rFonts w:ascii="Tahoma" w:hAnsi="Tahoma" w:cs="Tahoma"/>
          <w:sz w:val="22"/>
          <w:szCs w:val="22"/>
        </w:rPr>
      </w:pPr>
    </w:p>
    <w:p w:rsidR="00B6275A" w:rsidRPr="00794292" w:rsidRDefault="00B6275A" w:rsidP="00B6275A">
      <w:pPr>
        <w:numPr>
          <w:ilvl w:val="0"/>
          <w:numId w:val="1"/>
        </w:numPr>
        <w:ind w:left="426" w:hanging="360"/>
        <w:jc w:val="both"/>
        <w:rPr>
          <w:rFonts w:ascii="Tahoma" w:hAnsi="Tahoma" w:cs="Tahoma"/>
          <w:sz w:val="22"/>
          <w:szCs w:val="22"/>
        </w:rPr>
      </w:pPr>
      <w:r w:rsidRPr="00794292">
        <w:rPr>
          <w:rFonts w:ascii="Tahoma" w:hAnsi="Tahoma" w:cs="Tahoma"/>
          <w:sz w:val="22"/>
          <w:szCs w:val="22"/>
        </w:rPr>
        <w:t>En el caso que nos ocupa, el postor es el Consorcio Rio Mayo y, tal como puede apreciarse de la hoja resumen de su ficha, registra como fecha de inscripción ante el Registro Único del Contribuyente de la SUNAT el día 21 de marzo de 2011, fecha anterior a la presentación de propuestas del presente proceso de selección. (22.03.2011).</w:t>
      </w:r>
    </w:p>
    <w:p w:rsidR="00B6275A" w:rsidRPr="00794292" w:rsidRDefault="00B6275A" w:rsidP="00B6275A">
      <w:pPr>
        <w:ind w:left="426"/>
        <w:jc w:val="both"/>
        <w:rPr>
          <w:rFonts w:ascii="Tahoma" w:hAnsi="Tahoma" w:cs="Tahoma"/>
          <w:sz w:val="22"/>
          <w:szCs w:val="22"/>
        </w:rPr>
      </w:pPr>
    </w:p>
    <w:p w:rsidR="00B6275A" w:rsidRPr="00794292" w:rsidRDefault="00B6275A" w:rsidP="00B6275A">
      <w:pPr>
        <w:numPr>
          <w:ilvl w:val="0"/>
          <w:numId w:val="1"/>
        </w:numPr>
        <w:ind w:left="426" w:hanging="360"/>
        <w:jc w:val="both"/>
        <w:rPr>
          <w:rFonts w:ascii="Tahoma" w:hAnsi="Tahoma" w:cs="Tahoma"/>
          <w:sz w:val="22"/>
          <w:szCs w:val="22"/>
        </w:rPr>
      </w:pPr>
      <w:r w:rsidRPr="00794292">
        <w:rPr>
          <w:rFonts w:ascii="Tahoma" w:hAnsi="Tahoma" w:cs="Tahoma"/>
          <w:sz w:val="22"/>
          <w:szCs w:val="22"/>
        </w:rPr>
        <w:lastRenderedPageBreak/>
        <w:t>En ese sentido, este Colegiado siempre ha buscado mantener un criterio coherente y adecuado respecto a los criterios a emitir, a fin de buscar uniformidad en las resoluciones expedidas por las diversas Salas</w:t>
      </w:r>
      <w:r w:rsidRPr="00242631">
        <w:rPr>
          <w:rStyle w:val="Refdenotaalpie"/>
          <w:rFonts w:ascii="Tahoma" w:hAnsi="Tahoma"/>
          <w:sz w:val="22"/>
          <w:szCs w:val="22"/>
        </w:rPr>
        <w:footnoteReference w:id="3"/>
      </w:r>
      <w:r w:rsidRPr="00242631">
        <w:rPr>
          <w:rFonts w:ascii="Tahoma" w:hAnsi="Tahoma" w:cs="Tahoma"/>
          <w:sz w:val="22"/>
          <w:szCs w:val="22"/>
        </w:rPr>
        <w:t>,</w:t>
      </w:r>
      <w:r w:rsidRPr="00794292">
        <w:rPr>
          <w:rFonts w:ascii="Tahoma" w:hAnsi="Tahoma" w:cs="Tahoma"/>
          <w:sz w:val="22"/>
          <w:szCs w:val="22"/>
        </w:rPr>
        <w:t xml:space="preserve"> en </w:t>
      </w:r>
      <w:r w:rsidRPr="00794292">
        <w:rPr>
          <w:rFonts w:ascii="Tahoma" w:hAnsi="Tahoma" w:cs="Tahoma"/>
          <w:bCs/>
          <w:sz w:val="22"/>
          <w:szCs w:val="22"/>
        </w:rPr>
        <w:t xml:space="preserve"> ese orden de ideas, resulta relevante precisar </w:t>
      </w:r>
      <w:r w:rsidRPr="00794292">
        <w:rPr>
          <w:rFonts w:ascii="Tahoma" w:hAnsi="Tahoma" w:cs="Tahoma"/>
          <w:sz w:val="22"/>
          <w:szCs w:val="22"/>
        </w:rPr>
        <w:t xml:space="preserve">que el acotado hecho ha sido materia de pronunciamiento por parte de este Tribunal en anteriores oportunidades, en las cuales se han suscitado controversias semejantes a la discutidas en el presente procedimiento, y que fueron resueltas en virtud a la opinión técnica de la Superintendencia Nacional de Administración Tributaria mediante  Informe Nº 117-2005-SUNAT/2B0000, con el cual se llegó a determinar sobre la situación real de los consorcios que llevan contabilidad independiente de la de sus partes contratantes, y respecto </w:t>
      </w:r>
      <w:r>
        <w:rPr>
          <w:rFonts w:ascii="Tahoma" w:hAnsi="Tahoma" w:cs="Tahoma"/>
          <w:sz w:val="22"/>
          <w:szCs w:val="22"/>
        </w:rPr>
        <w:t xml:space="preserve">a </w:t>
      </w:r>
      <w:r w:rsidRPr="00794292">
        <w:rPr>
          <w:rFonts w:ascii="Tahoma" w:hAnsi="Tahoma" w:cs="Tahoma"/>
          <w:sz w:val="22"/>
          <w:szCs w:val="22"/>
        </w:rPr>
        <w:t xml:space="preserve">la exoneración del Impuesto General a las Ventas dispuesta por el artículo 13 de la Ley Nº 27037. El citado informe  concluyó en lo siguiente: </w:t>
      </w:r>
    </w:p>
    <w:p w:rsidR="00B6275A" w:rsidRPr="00794292" w:rsidRDefault="00B6275A" w:rsidP="00B6275A">
      <w:pPr>
        <w:ind w:left="2124" w:right="425"/>
        <w:jc w:val="both"/>
        <w:rPr>
          <w:rFonts w:ascii="Tahoma" w:hAnsi="Tahoma" w:cs="Tahoma"/>
          <w:sz w:val="22"/>
          <w:szCs w:val="22"/>
        </w:rPr>
      </w:pPr>
    </w:p>
    <w:p w:rsidR="00B6275A" w:rsidRPr="00794292" w:rsidRDefault="00B6275A" w:rsidP="00A20614">
      <w:pPr>
        <w:numPr>
          <w:ilvl w:val="3"/>
          <w:numId w:val="21"/>
        </w:numPr>
        <w:tabs>
          <w:tab w:val="clear" w:pos="1980"/>
        </w:tabs>
        <w:ind w:left="1843" w:right="425" w:hanging="1134"/>
        <w:jc w:val="both"/>
        <w:rPr>
          <w:rFonts w:ascii="Tahoma" w:hAnsi="Tahoma" w:cs="Tahoma"/>
          <w:sz w:val="22"/>
          <w:szCs w:val="22"/>
        </w:rPr>
      </w:pPr>
      <w:r w:rsidRPr="00794292">
        <w:rPr>
          <w:rFonts w:ascii="Tahoma" w:hAnsi="Tahoma" w:cs="Tahoma"/>
          <w:sz w:val="22"/>
          <w:szCs w:val="22"/>
        </w:rPr>
        <w:t>“Los consorcios que llevan contabilidad independiente de la de sus socios o partes contratantes gozan de la exoneración del IGV dispuesta por la Ley de la Amazonía; en la medida que generen rentas de tercera categoría y, además cumplan con los requisitos detallados en el numeral 2 del rubro Análisis de este Informe para considerarse ubicados en la Amazonía.</w:t>
      </w:r>
    </w:p>
    <w:p w:rsidR="00B6275A" w:rsidRPr="00794292" w:rsidRDefault="00B6275A" w:rsidP="00B6275A">
      <w:pPr>
        <w:ind w:left="1980" w:right="425"/>
        <w:jc w:val="both"/>
        <w:rPr>
          <w:rFonts w:ascii="Tahoma" w:hAnsi="Tahoma" w:cs="Tahoma"/>
          <w:sz w:val="22"/>
          <w:szCs w:val="22"/>
        </w:rPr>
      </w:pPr>
    </w:p>
    <w:p w:rsidR="00B6275A" w:rsidRPr="00794292" w:rsidRDefault="00B6275A" w:rsidP="00A20614">
      <w:pPr>
        <w:numPr>
          <w:ilvl w:val="3"/>
          <w:numId w:val="21"/>
        </w:numPr>
        <w:tabs>
          <w:tab w:val="clear" w:pos="1980"/>
        </w:tabs>
        <w:ind w:left="1843" w:right="425" w:hanging="1134"/>
        <w:jc w:val="both"/>
        <w:rPr>
          <w:rFonts w:ascii="Tahoma" w:hAnsi="Tahoma" w:cs="Tahoma"/>
          <w:sz w:val="22"/>
          <w:szCs w:val="22"/>
        </w:rPr>
      </w:pPr>
      <w:r w:rsidRPr="00794292">
        <w:rPr>
          <w:rFonts w:ascii="Tahoma" w:hAnsi="Tahoma" w:cs="Tahoma"/>
          <w:sz w:val="22"/>
          <w:szCs w:val="22"/>
        </w:rPr>
        <w:t>Los consorcios antes mencionados, al no ser personas jurídicas, no están obligados a cumplir el requisito de la inscripción registral completado en el inciso b) del artículo 2º del Reglamento de la Ley de la Amazonía.</w:t>
      </w:r>
    </w:p>
    <w:p w:rsidR="00B6275A" w:rsidRPr="00794292" w:rsidRDefault="00B6275A" w:rsidP="00B6275A">
      <w:pPr>
        <w:ind w:left="1980" w:right="425"/>
        <w:jc w:val="both"/>
        <w:rPr>
          <w:rFonts w:ascii="Tahoma" w:hAnsi="Tahoma" w:cs="Tahoma"/>
          <w:sz w:val="22"/>
          <w:szCs w:val="22"/>
        </w:rPr>
      </w:pPr>
      <w:r w:rsidRPr="00794292">
        <w:rPr>
          <w:rFonts w:ascii="Tahoma" w:hAnsi="Tahoma" w:cs="Tahoma"/>
          <w:sz w:val="22"/>
          <w:szCs w:val="22"/>
        </w:rPr>
        <w:t>En consecuencia, déjese sin efecto el Informe Nº 207-2004-SUNAT/2B0000 del 18.11.2004.</w:t>
      </w:r>
    </w:p>
    <w:p w:rsidR="00B6275A" w:rsidRPr="00794292" w:rsidRDefault="00B6275A" w:rsidP="00B6275A">
      <w:pPr>
        <w:ind w:left="1980" w:right="425"/>
        <w:jc w:val="both"/>
        <w:rPr>
          <w:rFonts w:ascii="Tahoma" w:hAnsi="Tahoma" w:cs="Tahoma"/>
          <w:sz w:val="22"/>
          <w:szCs w:val="22"/>
        </w:rPr>
      </w:pPr>
    </w:p>
    <w:p w:rsidR="00B6275A" w:rsidRPr="00794292" w:rsidRDefault="00B6275A" w:rsidP="00A20614">
      <w:pPr>
        <w:numPr>
          <w:ilvl w:val="3"/>
          <w:numId w:val="21"/>
        </w:numPr>
        <w:tabs>
          <w:tab w:val="clear" w:pos="1980"/>
        </w:tabs>
        <w:ind w:left="1843" w:right="425" w:hanging="1271"/>
        <w:jc w:val="both"/>
        <w:rPr>
          <w:rFonts w:ascii="Tahoma" w:hAnsi="Tahoma" w:cs="Tahoma"/>
          <w:sz w:val="22"/>
          <w:szCs w:val="22"/>
        </w:rPr>
      </w:pPr>
      <w:r w:rsidRPr="00794292">
        <w:rPr>
          <w:rFonts w:ascii="Tahoma" w:hAnsi="Tahoma" w:cs="Tahoma"/>
          <w:sz w:val="22"/>
          <w:szCs w:val="22"/>
        </w:rPr>
        <w:t xml:space="preserve">Todas las actividades que están encaminadas a la obtención del producto final forman parte del proceso de producción; por lo tanto, si algunas de las actividades que se efectúan para obtener el producto final son realizadas fuera de la Amazonía, no se considera cumplido el requisito referido a no tener producción fuera de la Amazonía previsto en el inciso d) del artículo 2º del Reglamento de la Ley de la Amazonía”   </w:t>
      </w:r>
    </w:p>
    <w:p w:rsidR="00B6275A" w:rsidRPr="00794292" w:rsidRDefault="00B6275A" w:rsidP="00B6275A">
      <w:pPr>
        <w:jc w:val="both"/>
        <w:rPr>
          <w:rFonts w:ascii="Tahoma" w:hAnsi="Tahoma" w:cs="Tahoma"/>
          <w:sz w:val="22"/>
          <w:szCs w:val="22"/>
        </w:rPr>
      </w:pPr>
    </w:p>
    <w:p w:rsidR="00B6275A" w:rsidRDefault="00B6275A" w:rsidP="00B6275A">
      <w:pPr>
        <w:numPr>
          <w:ilvl w:val="0"/>
          <w:numId w:val="1"/>
        </w:numPr>
        <w:ind w:left="426" w:hanging="426"/>
        <w:jc w:val="both"/>
        <w:rPr>
          <w:rFonts w:ascii="Tahoma" w:hAnsi="Tahoma" w:cs="Tahoma"/>
          <w:sz w:val="22"/>
          <w:szCs w:val="22"/>
        </w:rPr>
      </w:pPr>
      <w:r w:rsidRPr="0008242C">
        <w:rPr>
          <w:rFonts w:ascii="Tahoma" w:hAnsi="Tahoma" w:cs="Tahoma"/>
          <w:sz w:val="22"/>
          <w:szCs w:val="22"/>
        </w:rPr>
        <w:t xml:space="preserve">Sobre la base de lo expuesto, resulta relevante indicar que </w:t>
      </w:r>
      <w:r>
        <w:rPr>
          <w:rFonts w:ascii="Tahoma" w:hAnsi="Tahoma" w:cs="Tahoma"/>
          <w:sz w:val="22"/>
          <w:szCs w:val="22"/>
        </w:rPr>
        <w:t>la Entidad</w:t>
      </w:r>
      <w:r w:rsidRPr="0008242C">
        <w:rPr>
          <w:rFonts w:ascii="Tahoma" w:hAnsi="Tahoma" w:cs="Tahoma"/>
          <w:sz w:val="22"/>
          <w:szCs w:val="22"/>
        </w:rPr>
        <w:t xml:space="preserve"> no ha ofrecido suficientes elementos de juicio para desvirtuar la presunción de veracidad que amparaba la propuesta económica del Impugnante, respecto al cumplimiento de los requisitos exigidos para acceder al beneficio de la exoneración tributaria del IGV prevista en la Ley Nº 27037</w:t>
      </w:r>
      <w:r>
        <w:rPr>
          <w:rFonts w:ascii="Tahoma" w:hAnsi="Tahoma" w:cs="Tahoma"/>
          <w:sz w:val="22"/>
          <w:szCs w:val="22"/>
        </w:rPr>
        <w:t>,</w:t>
      </w:r>
      <w:r w:rsidRPr="0008242C">
        <w:rPr>
          <w:rFonts w:ascii="Tahoma" w:hAnsi="Tahoma" w:cs="Tahoma"/>
          <w:sz w:val="22"/>
          <w:szCs w:val="22"/>
        </w:rPr>
        <w:t xml:space="preserve"> por lo que este extremo de su recurso de apelación resulta fundado</w:t>
      </w:r>
      <w:r>
        <w:rPr>
          <w:rFonts w:ascii="Tahoma" w:hAnsi="Tahoma" w:cs="Tahoma"/>
          <w:sz w:val="22"/>
          <w:szCs w:val="22"/>
        </w:rPr>
        <w:t>.</w:t>
      </w:r>
    </w:p>
    <w:p w:rsidR="00B6275A" w:rsidRDefault="00B6275A" w:rsidP="00B6275A">
      <w:pPr>
        <w:ind w:left="426"/>
        <w:jc w:val="both"/>
        <w:rPr>
          <w:rFonts w:ascii="Tahoma" w:hAnsi="Tahoma" w:cs="Tahoma"/>
          <w:sz w:val="22"/>
          <w:szCs w:val="22"/>
        </w:rPr>
      </w:pPr>
    </w:p>
    <w:p w:rsidR="00B6275A" w:rsidRDefault="00B6275A" w:rsidP="00B6275A">
      <w:pPr>
        <w:numPr>
          <w:ilvl w:val="0"/>
          <w:numId w:val="1"/>
        </w:numPr>
        <w:ind w:left="426" w:hanging="426"/>
        <w:jc w:val="both"/>
        <w:rPr>
          <w:rFonts w:ascii="Tahoma" w:hAnsi="Tahoma" w:cs="Tahoma"/>
          <w:sz w:val="22"/>
          <w:szCs w:val="22"/>
        </w:rPr>
      </w:pPr>
      <w:r>
        <w:rPr>
          <w:rFonts w:ascii="Tahoma" w:hAnsi="Tahoma" w:cs="Tahoma"/>
          <w:sz w:val="22"/>
          <w:szCs w:val="22"/>
        </w:rPr>
        <w:t xml:space="preserve">Asimismo, cabe </w:t>
      </w:r>
      <w:r w:rsidRPr="00BF1A08">
        <w:rPr>
          <w:rFonts w:ascii="Tahoma" w:hAnsi="Tahoma" w:cs="Tahoma"/>
          <w:sz w:val="22"/>
          <w:szCs w:val="22"/>
        </w:rPr>
        <w:t xml:space="preserve">señalar que el numeral 1.16 del artículo IV del Título Preliminar de la Ley N.° 27444, Ley del Procedimiento Administrativo General (en adelante </w:t>
      </w:r>
      <w:smartTag w:uri="urn:schemas-microsoft-com:office:smarttags" w:element="PersonName">
        <w:smartTagPr>
          <w:attr w:name="ProductID" w:val="la LPAG"/>
        </w:smartTagPr>
        <w:r w:rsidRPr="00BF1A08">
          <w:rPr>
            <w:rFonts w:ascii="Tahoma" w:hAnsi="Tahoma" w:cs="Tahoma"/>
            <w:sz w:val="22"/>
            <w:szCs w:val="22"/>
          </w:rPr>
          <w:t xml:space="preserve">la </w:t>
        </w:r>
        <w:r w:rsidRPr="00BF1A08">
          <w:rPr>
            <w:rFonts w:ascii="Tahoma" w:hAnsi="Tahoma" w:cs="Tahoma"/>
            <w:sz w:val="22"/>
            <w:szCs w:val="22"/>
          </w:rPr>
          <w:lastRenderedPageBreak/>
          <w:t>LPAG</w:t>
        </w:r>
      </w:smartTag>
      <w:r w:rsidRPr="00BF1A08">
        <w:rPr>
          <w:rFonts w:ascii="Tahoma" w:hAnsi="Tahoma" w:cs="Tahoma"/>
          <w:sz w:val="22"/>
          <w:szCs w:val="22"/>
        </w:rPr>
        <w:t>), reconoce expresamente la vigencia del principio de privilegio de controles posteriores</w:t>
      </w:r>
      <w:r w:rsidRPr="00BF1A08">
        <w:rPr>
          <w:sz w:val="22"/>
          <w:szCs w:val="22"/>
        </w:rPr>
        <w:footnoteReference w:id="4"/>
      </w:r>
      <w:r w:rsidRPr="00BF1A08">
        <w:rPr>
          <w:rFonts w:ascii="Tahoma" w:hAnsi="Tahoma" w:cs="Tahoma"/>
          <w:sz w:val="22"/>
          <w:szCs w:val="22"/>
        </w:rPr>
        <w:t xml:space="preserve">, según el cual, las Entidades del Sector Público deben privilegiar las técnicas de control posterior, en lugar de las técnicas de control preventivo, en los procedimientos que se desarrollan bajo su competencia. En tal sentido, </w:t>
      </w:r>
      <w:smartTag w:uri="urn:schemas-microsoft-com:office:smarttags" w:element="PersonName">
        <w:smartTagPr>
          <w:attr w:name="ProductID" w:val="la Administraci￳n"/>
        </w:smartTagPr>
        <w:r w:rsidRPr="00BF1A08">
          <w:rPr>
            <w:rFonts w:ascii="Tahoma" w:hAnsi="Tahoma" w:cs="Tahoma"/>
            <w:sz w:val="22"/>
            <w:szCs w:val="22"/>
          </w:rPr>
          <w:t>la Administración</w:t>
        </w:r>
      </w:smartTag>
      <w:r w:rsidRPr="00BF1A08">
        <w:rPr>
          <w:rFonts w:ascii="Tahoma" w:hAnsi="Tahoma" w:cs="Tahoma"/>
          <w:sz w:val="22"/>
          <w:szCs w:val="22"/>
        </w:rPr>
        <w:t xml:space="preserve"> tiene el deber de comprobar la veracidad de los documentos presentados por los administrados y sancionar su falta, una vez culminados los procedimientos que conduce.</w:t>
      </w:r>
    </w:p>
    <w:p w:rsidR="00B6275A" w:rsidRDefault="00B6275A" w:rsidP="00B6275A">
      <w:pPr>
        <w:pStyle w:val="Prrafodelista"/>
        <w:rPr>
          <w:rFonts w:ascii="Tahoma" w:hAnsi="Tahoma" w:cs="Tahoma"/>
          <w:sz w:val="22"/>
          <w:szCs w:val="22"/>
        </w:rPr>
      </w:pPr>
    </w:p>
    <w:p w:rsidR="00B6275A" w:rsidRPr="00BF1A08" w:rsidRDefault="00B6275A" w:rsidP="00B6275A">
      <w:pPr>
        <w:numPr>
          <w:ilvl w:val="0"/>
          <w:numId w:val="1"/>
        </w:numPr>
        <w:ind w:left="426" w:hanging="426"/>
        <w:jc w:val="both"/>
        <w:rPr>
          <w:rFonts w:ascii="Tahoma" w:hAnsi="Tahoma" w:cs="Tahoma"/>
          <w:sz w:val="22"/>
          <w:szCs w:val="22"/>
        </w:rPr>
      </w:pPr>
      <w:r>
        <w:rPr>
          <w:rFonts w:ascii="Tahoma" w:hAnsi="Tahoma" w:cs="Tahoma"/>
          <w:sz w:val="22"/>
          <w:szCs w:val="22"/>
        </w:rPr>
        <w:t>En esa medida, respecto de lo manifestado por el Tercero Administrado en el literal C) del numeral 9 de la fundamentación sobre la condición de Pendiente del Domicilio Fiscal del Impugnante, corresponde a la SUNAT, y no a este Tribunal, efectuar la verificación fehaciente del domicilio fiscal consignado como centro de operaciones y labores permanente</w:t>
      </w:r>
      <w:r>
        <w:rPr>
          <w:rStyle w:val="Refdenotaalpie"/>
          <w:rFonts w:ascii="Tahoma" w:hAnsi="Tahoma"/>
          <w:sz w:val="22"/>
          <w:szCs w:val="22"/>
        </w:rPr>
        <w:footnoteReference w:id="5"/>
      </w:r>
      <w:r>
        <w:rPr>
          <w:rFonts w:ascii="Tahoma" w:hAnsi="Tahoma" w:cs="Tahoma"/>
          <w:sz w:val="22"/>
          <w:szCs w:val="22"/>
        </w:rPr>
        <w:t xml:space="preserve"> de la empresa. Más aun, si a la fecha de la verificación efectuada en la página web de la SUNAT se advierte que el consorcio se encuentra registrado en el Registro Único de Contribuyentes y si domicilio fiscal se encuentra como habido. </w:t>
      </w:r>
    </w:p>
    <w:p w:rsidR="00B6275A" w:rsidRPr="00BF1A08" w:rsidRDefault="00B6275A" w:rsidP="00B6275A">
      <w:pPr>
        <w:autoSpaceDE w:val="0"/>
        <w:autoSpaceDN w:val="0"/>
        <w:adjustRightInd w:val="0"/>
        <w:ind w:left="709"/>
        <w:jc w:val="both"/>
        <w:rPr>
          <w:rFonts w:ascii="Tahoma" w:hAnsi="Tahoma" w:cs="Tahoma"/>
          <w:sz w:val="22"/>
          <w:szCs w:val="22"/>
        </w:rPr>
      </w:pPr>
    </w:p>
    <w:p w:rsidR="00B6275A" w:rsidRDefault="00B6275A" w:rsidP="00B6275A">
      <w:pPr>
        <w:numPr>
          <w:ilvl w:val="0"/>
          <w:numId w:val="1"/>
        </w:numPr>
        <w:ind w:left="426" w:hanging="426"/>
        <w:jc w:val="both"/>
        <w:rPr>
          <w:rFonts w:ascii="Tahoma" w:hAnsi="Tahoma" w:cs="Tahoma"/>
          <w:sz w:val="22"/>
          <w:szCs w:val="22"/>
        </w:rPr>
      </w:pPr>
      <w:r w:rsidRPr="00794292">
        <w:rPr>
          <w:rFonts w:ascii="Tahoma" w:hAnsi="Tahoma" w:cs="Tahoma"/>
          <w:sz w:val="22"/>
          <w:szCs w:val="22"/>
        </w:rPr>
        <w:t>Por lo tanto,  en mérito de lo expuesto precedentemente, el Consorcio Rio Mayo se encontraba habilitado para acogerse al beneficio de la Ley de Promoción de la Amazonía; y, en consecuencia,  resulta procedente acoger el cuestionamiento del impugnante en este extremo, y no así lo expresado por el tercero administrado, el Consorcio Bajo Huallaga.</w:t>
      </w:r>
    </w:p>
    <w:p w:rsidR="00B6275A" w:rsidRDefault="00B6275A" w:rsidP="00B6275A">
      <w:pPr>
        <w:pStyle w:val="Prrafodelista"/>
        <w:rPr>
          <w:rFonts w:ascii="Tahoma" w:hAnsi="Tahoma" w:cs="Tahoma"/>
        </w:rPr>
      </w:pPr>
    </w:p>
    <w:p w:rsidR="00B6275A" w:rsidRDefault="00B6275A" w:rsidP="00B6275A">
      <w:pPr>
        <w:numPr>
          <w:ilvl w:val="0"/>
          <w:numId w:val="1"/>
        </w:numPr>
        <w:ind w:left="426" w:hanging="426"/>
        <w:jc w:val="both"/>
        <w:rPr>
          <w:rFonts w:ascii="Tahoma" w:hAnsi="Tahoma" w:cs="Tahoma"/>
          <w:sz w:val="22"/>
          <w:szCs w:val="22"/>
        </w:rPr>
      </w:pPr>
      <w:r w:rsidRPr="000A54AB">
        <w:rPr>
          <w:rFonts w:ascii="Tahoma" w:hAnsi="Tahoma" w:cs="Tahoma"/>
          <w:sz w:val="22"/>
          <w:szCs w:val="22"/>
        </w:rPr>
        <w:t xml:space="preserve">Por los fundamentos expuestos, se concluye que el monto ofertado por el Consorcio </w:t>
      </w:r>
      <w:r>
        <w:rPr>
          <w:rFonts w:ascii="Tahoma" w:hAnsi="Tahoma" w:cs="Tahoma"/>
          <w:sz w:val="22"/>
          <w:szCs w:val="22"/>
        </w:rPr>
        <w:t>Rio Mayo</w:t>
      </w:r>
      <w:r w:rsidRPr="000A54AB">
        <w:rPr>
          <w:rFonts w:ascii="Tahoma" w:hAnsi="Tahoma" w:cs="Tahoma"/>
          <w:sz w:val="22"/>
          <w:szCs w:val="22"/>
        </w:rPr>
        <w:t xml:space="preserve"> cumple con los límites previstos en el artículo 33 de la Ley de Contrataciones del Estado, motivo por el cual el citado postor debe ser </w:t>
      </w:r>
      <w:r>
        <w:rPr>
          <w:rFonts w:ascii="Tahoma" w:hAnsi="Tahoma" w:cs="Tahoma"/>
          <w:sz w:val="22"/>
          <w:szCs w:val="22"/>
        </w:rPr>
        <w:t>reincorporado al proceso</w:t>
      </w:r>
      <w:r w:rsidRPr="000A54AB">
        <w:rPr>
          <w:rFonts w:ascii="Tahoma" w:hAnsi="Tahoma" w:cs="Tahoma"/>
          <w:sz w:val="22"/>
          <w:szCs w:val="22"/>
        </w:rPr>
        <w:t xml:space="preserve">. Lo señalado, en aplicación de lo establecido en la </w:t>
      </w:r>
      <w:r>
        <w:rPr>
          <w:rFonts w:ascii="Tahoma" w:hAnsi="Tahoma" w:cs="Tahoma"/>
          <w:sz w:val="22"/>
          <w:szCs w:val="22"/>
        </w:rPr>
        <w:t xml:space="preserve">Cuarta </w:t>
      </w:r>
      <w:r w:rsidRPr="000A54AB">
        <w:rPr>
          <w:rFonts w:ascii="Tahoma" w:hAnsi="Tahoma" w:cs="Tahoma"/>
          <w:sz w:val="22"/>
          <w:szCs w:val="22"/>
        </w:rPr>
        <w:t>Disposición</w:t>
      </w:r>
      <w:r>
        <w:rPr>
          <w:rFonts w:ascii="Tahoma" w:hAnsi="Tahoma" w:cs="Tahoma"/>
          <w:sz w:val="22"/>
          <w:szCs w:val="22"/>
        </w:rPr>
        <w:t xml:space="preserve"> Complementaria</w:t>
      </w:r>
      <w:r w:rsidRPr="000A54AB">
        <w:rPr>
          <w:rFonts w:ascii="Tahoma" w:hAnsi="Tahoma" w:cs="Tahoma"/>
          <w:sz w:val="22"/>
          <w:szCs w:val="22"/>
        </w:rPr>
        <w:t xml:space="preserve"> Final del Reglamento de la Ley de Contrataciones del Estado que establece que el postor que goza de la exoneración prevista en la Ley Nº 27037, formulará su propuesta económica teniendo en cuenta </w:t>
      </w:r>
      <w:r>
        <w:rPr>
          <w:rFonts w:ascii="Tahoma" w:hAnsi="Tahoma" w:cs="Tahoma"/>
          <w:sz w:val="22"/>
          <w:szCs w:val="22"/>
        </w:rPr>
        <w:t>exclusivamente el total de los conceptos que conforman el valor referencial, ex</w:t>
      </w:r>
      <w:r w:rsidRPr="000A54AB">
        <w:rPr>
          <w:rFonts w:ascii="Tahoma" w:hAnsi="Tahoma" w:cs="Tahoma"/>
          <w:sz w:val="22"/>
          <w:szCs w:val="22"/>
        </w:rPr>
        <w:t>cluido el Impuesto General a las Ventas (IGV)</w:t>
      </w:r>
      <w:r>
        <w:rPr>
          <w:rFonts w:ascii="Tahoma" w:hAnsi="Tahoma" w:cs="Tahoma"/>
          <w:sz w:val="22"/>
          <w:szCs w:val="22"/>
        </w:rPr>
        <w:t>,</w:t>
      </w:r>
      <w:r w:rsidRPr="000A54AB">
        <w:rPr>
          <w:rFonts w:ascii="Tahoma" w:hAnsi="Tahoma" w:cs="Tahoma"/>
          <w:sz w:val="22"/>
          <w:szCs w:val="22"/>
        </w:rPr>
        <w:t xml:space="preserve"> el cumplimiento de lo señalado constituye requisito de admisibilidad de la propuesta.</w:t>
      </w:r>
    </w:p>
    <w:p w:rsidR="00B6275A" w:rsidRDefault="00B6275A" w:rsidP="00B6275A">
      <w:pPr>
        <w:pStyle w:val="Prrafodelista"/>
        <w:rPr>
          <w:rFonts w:ascii="Tahoma" w:hAnsi="Tahoma" w:cs="Tahoma"/>
          <w:sz w:val="22"/>
          <w:szCs w:val="22"/>
        </w:rPr>
      </w:pPr>
    </w:p>
    <w:p w:rsidR="00B6275A" w:rsidRDefault="00B6275A" w:rsidP="00B6275A">
      <w:pPr>
        <w:jc w:val="both"/>
        <w:rPr>
          <w:rFonts w:ascii="Tahoma" w:hAnsi="Tahoma" w:cs="Tahoma"/>
          <w:sz w:val="22"/>
          <w:szCs w:val="22"/>
        </w:rPr>
      </w:pPr>
    </w:p>
    <w:p w:rsidR="00B6275A" w:rsidRDefault="00B6275A" w:rsidP="00B6275A">
      <w:pPr>
        <w:pStyle w:val="Prrafodelista"/>
        <w:tabs>
          <w:tab w:val="left" w:pos="567"/>
        </w:tabs>
        <w:autoSpaceDE w:val="0"/>
        <w:autoSpaceDN w:val="0"/>
        <w:adjustRightInd w:val="0"/>
        <w:ind w:left="360"/>
        <w:jc w:val="both"/>
        <w:rPr>
          <w:rFonts w:ascii="Tahoma" w:hAnsi="Tahoma" w:cs="Tahoma"/>
          <w:b/>
          <w:caps/>
          <w:shadow/>
          <w:sz w:val="22"/>
          <w:szCs w:val="22"/>
          <w:u w:val="single"/>
        </w:rPr>
      </w:pPr>
      <w:r>
        <w:rPr>
          <w:rFonts w:ascii="Tahoma" w:hAnsi="Tahoma" w:cs="Tahoma"/>
          <w:b/>
          <w:caps/>
          <w:shadow/>
          <w:sz w:val="22"/>
          <w:szCs w:val="22"/>
          <w:u w:val="single"/>
        </w:rPr>
        <w:t>segundo</w:t>
      </w:r>
      <w:r w:rsidRPr="004D7F87">
        <w:rPr>
          <w:rFonts w:ascii="Tahoma" w:hAnsi="Tahoma" w:cs="Tahoma"/>
          <w:b/>
          <w:caps/>
          <w:shadow/>
          <w:sz w:val="22"/>
          <w:szCs w:val="22"/>
          <w:u w:val="single"/>
        </w:rPr>
        <w:t xml:space="preserve"> PUNTO CONTROVERTIDO: </w:t>
      </w:r>
      <w:r>
        <w:rPr>
          <w:rFonts w:ascii="Tahoma" w:hAnsi="Tahoma" w:cs="Tahoma"/>
          <w:b/>
          <w:caps/>
          <w:shadow/>
          <w:sz w:val="22"/>
          <w:szCs w:val="22"/>
          <w:u w:val="single"/>
        </w:rPr>
        <w:t>requerimientos tecnicos minimos</w:t>
      </w:r>
    </w:p>
    <w:p w:rsidR="00B6275A" w:rsidRPr="000300BD" w:rsidRDefault="00B6275A" w:rsidP="00B6275A">
      <w:pPr>
        <w:pStyle w:val="Prrafodelista"/>
        <w:tabs>
          <w:tab w:val="left" w:pos="567"/>
        </w:tabs>
        <w:autoSpaceDE w:val="0"/>
        <w:autoSpaceDN w:val="0"/>
        <w:adjustRightInd w:val="0"/>
        <w:ind w:left="360"/>
        <w:jc w:val="both"/>
        <w:rPr>
          <w:rFonts w:ascii="Tahoma" w:hAnsi="Tahoma" w:cs="Tahoma"/>
          <w:b/>
          <w:caps/>
          <w:shadow/>
          <w:sz w:val="22"/>
          <w:szCs w:val="22"/>
          <w:u w:val="single"/>
        </w:rPr>
      </w:pPr>
    </w:p>
    <w:p w:rsidR="00B6275A" w:rsidRDefault="00B6275A" w:rsidP="00B6275A">
      <w:pPr>
        <w:numPr>
          <w:ilvl w:val="0"/>
          <w:numId w:val="1"/>
        </w:numPr>
        <w:tabs>
          <w:tab w:val="left" w:pos="426"/>
        </w:tabs>
        <w:autoSpaceDE w:val="0"/>
        <w:autoSpaceDN w:val="0"/>
        <w:adjustRightInd w:val="0"/>
        <w:ind w:left="426" w:hanging="426"/>
        <w:jc w:val="both"/>
        <w:rPr>
          <w:rFonts w:ascii="Tahoma" w:hAnsi="Tahoma" w:cs="Tahoma"/>
          <w:sz w:val="22"/>
          <w:szCs w:val="22"/>
        </w:rPr>
      </w:pPr>
      <w:r>
        <w:rPr>
          <w:rFonts w:ascii="Tahoma" w:hAnsi="Tahoma" w:cs="Tahoma"/>
          <w:sz w:val="22"/>
          <w:szCs w:val="22"/>
        </w:rPr>
        <w:lastRenderedPageBreak/>
        <w:t>Ahora bien</w:t>
      </w:r>
      <w:r w:rsidRPr="00794292">
        <w:rPr>
          <w:rFonts w:ascii="Tahoma" w:hAnsi="Tahoma" w:cs="Tahoma"/>
          <w:sz w:val="22"/>
          <w:szCs w:val="22"/>
        </w:rPr>
        <w:t>, corresponde pronunciarse sobre los argumentos vertidos por el Tercero Administrado</w:t>
      </w:r>
      <w:r>
        <w:rPr>
          <w:rFonts w:ascii="Tahoma" w:hAnsi="Tahoma" w:cs="Tahoma"/>
          <w:sz w:val="22"/>
          <w:szCs w:val="22"/>
        </w:rPr>
        <w:t>, el Consorcio Bajo Huallaga,</w:t>
      </w:r>
      <w:r w:rsidRPr="00794292">
        <w:rPr>
          <w:rFonts w:ascii="Tahoma" w:hAnsi="Tahoma" w:cs="Tahoma"/>
          <w:sz w:val="22"/>
          <w:szCs w:val="22"/>
        </w:rPr>
        <w:t xml:space="preserve"> en los escritos presentados ante </w:t>
      </w:r>
      <w:r w:rsidRPr="00884455">
        <w:rPr>
          <w:rFonts w:ascii="Tahoma" w:hAnsi="Tahoma" w:cs="Tahoma"/>
          <w:sz w:val="22"/>
          <w:szCs w:val="22"/>
        </w:rPr>
        <w:t xml:space="preserve">este Tribunal, señalando que lo indicado en la propuesta técnica presentada por el impugnante, no </w:t>
      </w:r>
      <w:r>
        <w:rPr>
          <w:rFonts w:ascii="Tahoma" w:hAnsi="Tahoma" w:cs="Tahoma"/>
          <w:sz w:val="22"/>
          <w:szCs w:val="22"/>
        </w:rPr>
        <w:t>cumpliría</w:t>
      </w:r>
      <w:r w:rsidRPr="00884455">
        <w:rPr>
          <w:rFonts w:ascii="Tahoma" w:hAnsi="Tahoma" w:cs="Tahoma"/>
          <w:sz w:val="22"/>
          <w:szCs w:val="22"/>
        </w:rPr>
        <w:t xml:space="preserve"> los requerimientos técnicos mínimos solicitados en las Bases Integradas a fin de acreditar la experiencia del residente de obra y del asistente de obra.</w:t>
      </w:r>
    </w:p>
    <w:p w:rsidR="00B6275A" w:rsidRPr="00884455" w:rsidRDefault="00B6275A" w:rsidP="00B6275A">
      <w:pPr>
        <w:tabs>
          <w:tab w:val="left" w:pos="426"/>
        </w:tabs>
        <w:autoSpaceDE w:val="0"/>
        <w:autoSpaceDN w:val="0"/>
        <w:adjustRightInd w:val="0"/>
        <w:ind w:left="426"/>
        <w:jc w:val="both"/>
        <w:rPr>
          <w:rFonts w:ascii="Tahoma" w:hAnsi="Tahoma" w:cs="Tahoma"/>
          <w:sz w:val="22"/>
          <w:szCs w:val="22"/>
        </w:rPr>
      </w:pPr>
    </w:p>
    <w:p w:rsidR="00B6275A" w:rsidRDefault="00B6275A" w:rsidP="00B6275A">
      <w:pPr>
        <w:numPr>
          <w:ilvl w:val="0"/>
          <w:numId w:val="1"/>
        </w:numPr>
        <w:tabs>
          <w:tab w:val="left" w:pos="426"/>
        </w:tabs>
        <w:autoSpaceDE w:val="0"/>
        <w:autoSpaceDN w:val="0"/>
        <w:adjustRightInd w:val="0"/>
        <w:ind w:left="426" w:hanging="426"/>
        <w:jc w:val="both"/>
        <w:rPr>
          <w:rFonts w:ascii="Tahoma" w:hAnsi="Tahoma" w:cs="Tahoma"/>
          <w:sz w:val="22"/>
          <w:szCs w:val="22"/>
        </w:rPr>
      </w:pPr>
      <w:r w:rsidRPr="00884455">
        <w:rPr>
          <w:rFonts w:ascii="Tahoma" w:hAnsi="Tahoma" w:cs="Tahoma"/>
          <w:sz w:val="22"/>
          <w:szCs w:val="22"/>
        </w:rPr>
        <w:t>Como marco referencial, es preciso tener en cuenta que en reiterada jurisprudencia emitida por este Tribunal</w:t>
      </w:r>
      <w:r w:rsidRPr="00884455">
        <w:rPr>
          <w:rStyle w:val="Refdenotaalpie"/>
          <w:rFonts w:ascii="Tahoma" w:hAnsi="Tahoma" w:cs="Tahoma"/>
          <w:sz w:val="22"/>
          <w:szCs w:val="22"/>
        </w:rPr>
        <w:footnoteReference w:id="6"/>
      </w:r>
      <w:r w:rsidRPr="00884455">
        <w:rPr>
          <w:rFonts w:ascii="Tahoma" w:hAnsi="Tahoma" w:cs="Tahoma"/>
          <w:sz w:val="22"/>
          <w:szCs w:val="22"/>
        </w:rPr>
        <w:t xml:space="preserve">, se ha establecido que las Bases constituyen las reglas del proceso de selección y en función de ellas debe efectuarse la calificación y evaluación de las propuestas, conforme a lo dispuesto en el artículo 26 de la Ley, la cual señala que lo establecido en las Bases, en la citada Ley y en el Reglamento, obliga a todos los postores y a la Entidad convocante. </w:t>
      </w:r>
    </w:p>
    <w:p w:rsidR="00B6275A" w:rsidRDefault="00B6275A" w:rsidP="00B6275A">
      <w:pPr>
        <w:pStyle w:val="Prrafodelista"/>
        <w:rPr>
          <w:rFonts w:ascii="Tahoma" w:hAnsi="Tahoma" w:cs="Tahoma"/>
          <w:sz w:val="22"/>
          <w:szCs w:val="22"/>
        </w:rPr>
      </w:pPr>
    </w:p>
    <w:p w:rsidR="00B6275A" w:rsidRDefault="00B6275A" w:rsidP="00B6275A">
      <w:pPr>
        <w:numPr>
          <w:ilvl w:val="0"/>
          <w:numId w:val="1"/>
        </w:numPr>
        <w:tabs>
          <w:tab w:val="left" w:pos="426"/>
        </w:tabs>
        <w:autoSpaceDE w:val="0"/>
        <w:autoSpaceDN w:val="0"/>
        <w:adjustRightInd w:val="0"/>
        <w:ind w:left="426" w:hanging="426"/>
        <w:jc w:val="both"/>
        <w:rPr>
          <w:rFonts w:ascii="Tahoma" w:hAnsi="Tahoma" w:cs="Tahoma"/>
          <w:sz w:val="22"/>
          <w:szCs w:val="22"/>
        </w:rPr>
      </w:pPr>
      <w:r w:rsidRPr="00884455">
        <w:rPr>
          <w:rFonts w:ascii="Tahoma" w:hAnsi="Tahoma" w:cs="Tahoma"/>
          <w:sz w:val="22"/>
          <w:szCs w:val="22"/>
        </w:rPr>
        <w:t>Por su parte, el artículo 70 del Reglamento señala que para admitir las propuestas técnicas, el Comité Especial verificará que las ofertas cumplan los requisitos de admisión establecidos en las Bases y que sólo una vez admitidas las mismas, se aplicarán los factores de evaluación previstos y se asignarán los puntajes correspondientes, conforme a los criterios establecidos para cada factor, y a la documentación sustentatoria presentada por el postor.</w:t>
      </w:r>
    </w:p>
    <w:p w:rsidR="00B6275A" w:rsidRDefault="00B6275A" w:rsidP="00B6275A">
      <w:pPr>
        <w:pStyle w:val="Prrafodelista"/>
        <w:rPr>
          <w:rFonts w:ascii="Tahoma" w:hAnsi="Tahoma" w:cs="Tahoma"/>
          <w:sz w:val="22"/>
          <w:szCs w:val="22"/>
        </w:rPr>
      </w:pPr>
    </w:p>
    <w:p w:rsidR="00B6275A" w:rsidRDefault="00B6275A" w:rsidP="00B6275A">
      <w:pPr>
        <w:numPr>
          <w:ilvl w:val="0"/>
          <w:numId w:val="1"/>
        </w:numPr>
        <w:tabs>
          <w:tab w:val="left" w:pos="426"/>
        </w:tabs>
        <w:autoSpaceDE w:val="0"/>
        <w:autoSpaceDN w:val="0"/>
        <w:adjustRightInd w:val="0"/>
        <w:ind w:left="426" w:hanging="426"/>
        <w:jc w:val="both"/>
        <w:rPr>
          <w:rFonts w:ascii="Tahoma" w:hAnsi="Tahoma" w:cs="Tahoma"/>
          <w:sz w:val="22"/>
          <w:szCs w:val="22"/>
        </w:rPr>
      </w:pPr>
      <w:r w:rsidRPr="00884455">
        <w:rPr>
          <w:rFonts w:ascii="Tahoma" w:hAnsi="Tahoma" w:cs="Tahoma"/>
          <w:sz w:val="22"/>
          <w:szCs w:val="22"/>
        </w:rPr>
        <w:t>Finalmente, el artículo 66 del Reglamento</w:t>
      </w:r>
      <w:r w:rsidRPr="00884455">
        <w:rPr>
          <w:rStyle w:val="Refdenotaalpie"/>
          <w:rFonts w:ascii="Tahoma" w:hAnsi="Tahoma" w:cs="Tahoma"/>
          <w:sz w:val="22"/>
          <w:szCs w:val="22"/>
        </w:rPr>
        <w:footnoteReference w:id="7"/>
      </w:r>
      <w:r w:rsidRPr="00884455">
        <w:rPr>
          <w:rFonts w:ascii="Tahoma" w:hAnsi="Tahoma" w:cs="Tahoma"/>
          <w:sz w:val="22"/>
          <w:szCs w:val="22"/>
        </w:rPr>
        <w:t xml:space="preserve"> señala que el Comité Especial comprobará que los documentos presentados por cada postor, sean los solicitados por las Bases, la Ley y el Reglamento. </w:t>
      </w:r>
    </w:p>
    <w:p w:rsidR="00B6275A" w:rsidRDefault="00B6275A" w:rsidP="00B6275A">
      <w:pPr>
        <w:pStyle w:val="Prrafodelista"/>
        <w:rPr>
          <w:rFonts w:ascii="Tahoma" w:hAnsi="Tahoma" w:cs="Tahoma"/>
          <w:sz w:val="22"/>
          <w:szCs w:val="22"/>
        </w:rPr>
      </w:pPr>
    </w:p>
    <w:p w:rsidR="00B6275A" w:rsidRDefault="00B6275A" w:rsidP="00B6275A">
      <w:pPr>
        <w:numPr>
          <w:ilvl w:val="0"/>
          <w:numId w:val="1"/>
        </w:numPr>
        <w:tabs>
          <w:tab w:val="left" w:pos="426"/>
        </w:tabs>
        <w:autoSpaceDE w:val="0"/>
        <w:autoSpaceDN w:val="0"/>
        <w:adjustRightInd w:val="0"/>
        <w:ind w:left="426" w:hanging="426"/>
        <w:jc w:val="both"/>
        <w:rPr>
          <w:rFonts w:ascii="Tahoma" w:hAnsi="Tahoma" w:cs="Tahoma"/>
          <w:sz w:val="22"/>
          <w:szCs w:val="22"/>
        </w:rPr>
      </w:pPr>
      <w:r w:rsidRPr="00884455">
        <w:rPr>
          <w:rFonts w:ascii="Tahoma" w:hAnsi="Tahoma" w:cs="Tahoma"/>
          <w:sz w:val="22"/>
          <w:szCs w:val="22"/>
        </w:rPr>
        <w:t xml:space="preserve">De las disposiciones glosadas, se desprende que para la evaluación de las propuestas debe considerarse dos aspectos claramente diferenciados: por un lado, los requerimientos técnicos mínimos, cuya función es la de asegurar a la Entidad que el postor cumple con las características mínimas de idoneidad para proveer o ejecutar adecuadamente el bien o servicio objeto de la contratación, habilitando con ello a las propuestas que ingresarán en competencia y que serán evaluadas posteriormente; y, por el otro, los factores de evaluación, que contienen los elementos a partir de los cuales se asignará puntaje con la finalidad de seleccionar al mejor postor. </w:t>
      </w:r>
    </w:p>
    <w:p w:rsidR="00B6275A" w:rsidRDefault="00B6275A" w:rsidP="00B6275A">
      <w:pPr>
        <w:pStyle w:val="Prrafodelista"/>
        <w:rPr>
          <w:rFonts w:ascii="Tahoma" w:hAnsi="Tahoma" w:cs="Tahoma"/>
          <w:sz w:val="22"/>
          <w:szCs w:val="22"/>
        </w:rPr>
      </w:pPr>
    </w:p>
    <w:p w:rsidR="00B6275A" w:rsidRDefault="00B6275A" w:rsidP="00B6275A">
      <w:pPr>
        <w:numPr>
          <w:ilvl w:val="0"/>
          <w:numId w:val="1"/>
        </w:numPr>
        <w:tabs>
          <w:tab w:val="left" w:pos="426"/>
        </w:tabs>
        <w:autoSpaceDE w:val="0"/>
        <w:autoSpaceDN w:val="0"/>
        <w:adjustRightInd w:val="0"/>
        <w:ind w:left="426" w:hanging="426"/>
        <w:jc w:val="both"/>
        <w:rPr>
          <w:rFonts w:ascii="Tahoma" w:hAnsi="Tahoma" w:cs="Tahoma"/>
          <w:sz w:val="22"/>
          <w:szCs w:val="22"/>
        </w:rPr>
      </w:pPr>
      <w:r>
        <w:rPr>
          <w:rFonts w:ascii="Tahoma" w:hAnsi="Tahoma" w:cs="Tahoma"/>
          <w:sz w:val="22"/>
          <w:szCs w:val="22"/>
        </w:rPr>
        <w:t>En ese orden de ideas, l</w:t>
      </w:r>
      <w:r w:rsidRPr="00884455">
        <w:rPr>
          <w:rFonts w:ascii="Tahoma" w:hAnsi="Tahoma" w:cs="Tahoma"/>
          <w:sz w:val="22"/>
          <w:szCs w:val="22"/>
        </w:rPr>
        <w:t xml:space="preserve">as Bases Integradas </w:t>
      </w:r>
      <w:r>
        <w:rPr>
          <w:rFonts w:ascii="Tahoma" w:hAnsi="Tahoma" w:cs="Tahoma"/>
          <w:sz w:val="22"/>
          <w:szCs w:val="22"/>
        </w:rPr>
        <w:t>establecían lo siguiente:</w:t>
      </w:r>
    </w:p>
    <w:p w:rsidR="00B6275A" w:rsidRDefault="00B6275A" w:rsidP="00B6275A">
      <w:pPr>
        <w:pStyle w:val="Prrafodelista"/>
        <w:rPr>
          <w:rFonts w:ascii="Tahoma" w:hAnsi="Tahoma" w:cs="Tahoma"/>
          <w:sz w:val="22"/>
          <w:szCs w:val="22"/>
        </w:rPr>
      </w:pPr>
    </w:p>
    <w:p w:rsidR="00B6275A" w:rsidRPr="00884455" w:rsidRDefault="00B6275A" w:rsidP="00B6275A">
      <w:pPr>
        <w:tabs>
          <w:tab w:val="left" w:pos="426"/>
        </w:tabs>
        <w:autoSpaceDE w:val="0"/>
        <w:autoSpaceDN w:val="0"/>
        <w:adjustRightInd w:val="0"/>
        <w:ind w:left="426"/>
        <w:jc w:val="both"/>
        <w:rPr>
          <w:rFonts w:ascii="Tahoma" w:hAnsi="Tahoma" w:cs="Tahoma"/>
          <w:b/>
          <w:sz w:val="22"/>
          <w:szCs w:val="22"/>
          <w:u w:val="single"/>
        </w:rPr>
      </w:pPr>
      <w:r>
        <w:rPr>
          <w:rFonts w:ascii="Tahoma" w:hAnsi="Tahoma" w:cs="Tahoma"/>
          <w:b/>
          <w:sz w:val="22"/>
          <w:szCs w:val="22"/>
          <w:u w:val="single"/>
        </w:rPr>
        <w:t>Bases Integradas: p</w:t>
      </w:r>
      <w:r w:rsidRPr="00884455">
        <w:rPr>
          <w:rFonts w:ascii="Tahoma" w:hAnsi="Tahoma" w:cs="Tahoma"/>
          <w:b/>
          <w:sz w:val="22"/>
          <w:szCs w:val="22"/>
          <w:u w:val="single"/>
        </w:rPr>
        <w:t>ara el Asistente de Obra:</w:t>
      </w:r>
    </w:p>
    <w:p w:rsidR="00B6275A" w:rsidRPr="00884455" w:rsidRDefault="00B6275A" w:rsidP="00B6275A">
      <w:pPr>
        <w:tabs>
          <w:tab w:val="left" w:pos="426"/>
        </w:tabs>
        <w:autoSpaceDE w:val="0"/>
        <w:autoSpaceDN w:val="0"/>
        <w:adjustRightInd w:val="0"/>
        <w:ind w:left="426"/>
        <w:jc w:val="both"/>
        <w:rPr>
          <w:rFonts w:ascii="Tahoma" w:hAnsi="Tahoma" w:cs="Tahoma"/>
          <w:sz w:val="22"/>
          <w:szCs w:val="22"/>
        </w:rPr>
      </w:pPr>
    </w:p>
    <w:p w:rsidR="00B6275A" w:rsidRDefault="00B6275A" w:rsidP="00B6275A">
      <w:pPr>
        <w:pStyle w:val="Prrafodelista"/>
        <w:numPr>
          <w:ilvl w:val="0"/>
          <w:numId w:val="32"/>
        </w:numPr>
        <w:tabs>
          <w:tab w:val="left" w:pos="426"/>
        </w:tabs>
        <w:autoSpaceDE w:val="0"/>
        <w:autoSpaceDN w:val="0"/>
        <w:adjustRightInd w:val="0"/>
        <w:jc w:val="both"/>
        <w:rPr>
          <w:rFonts w:ascii="Tahoma" w:hAnsi="Tahoma" w:cs="Tahoma"/>
          <w:sz w:val="22"/>
          <w:szCs w:val="22"/>
        </w:rPr>
      </w:pPr>
      <w:r>
        <w:rPr>
          <w:rFonts w:ascii="Tahoma" w:hAnsi="Tahoma" w:cs="Tahoma"/>
          <w:sz w:val="22"/>
          <w:szCs w:val="22"/>
        </w:rPr>
        <w:t>Ser ingeniero civil colegiado (Adjuntar copia del Título Profesional correspondiente y del Diploma del Colegio de Ingenieros del Perú)</w:t>
      </w:r>
    </w:p>
    <w:p w:rsidR="00B6275A" w:rsidRDefault="00B6275A" w:rsidP="00B6275A">
      <w:pPr>
        <w:pStyle w:val="Prrafodelista"/>
        <w:tabs>
          <w:tab w:val="left" w:pos="426"/>
        </w:tabs>
        <w:autoSpaceDE w:val="0"/>
        <w:autoSpaceDN w:val="0"/>
        <w:adjustRightInd w:val="0"/>
        <w:ind w:left="1146"/>
        <w:jc w:val="both"/>
        <w:rPr>
          <w:rFonts w:ascii="Tahoma" w:hAnsi="Tahoma" w:cs="Tahoma"/>
          <w:sz w:val="22"/>
          <w:szCs w:val="22"/>
        </w:rPr>
      </w:pPr>
    </w:p>
    <w:p w:rsidR="00B6275A" w:rsidRPr="00884455" w:rsidRDefault="00B6275A" w:rsidP="00B6275A">
      <w:pPr>
        <w:pStyle w:val="Prrafodelista"/>
        <w:numPr>
          <w:ilvl w:val="0"/>
          <w:numId w:val="33"/>
        </w:numPr>
        <w:tabs>
          <w:tab w:val="left" w:pos="426"/>
        </w:tabs>
        <w:autoSpaceDE w:val="0"/>
        <w:autoSpaceDN w:val="0"/>
        <w:adjustRightInd w:val="0"/>
        <w:jc w:val="both"/>
        <w:rPr>
          <w:rFonts w:ascii="Tahoma" w:hAnsi="Tahoma" w:cs="Tahoma"/>
          <w:sz w:val="22"/>
          <w:szCs w:val="22"/>
        </w:rPr>
      </w:pPr>
      <w:r w:rsidRPr="00230E6E">
        <w:rPr>
          <w:rFonts w:ascii="Tahoma" w:hAnsi="Tahoma" w:cs="Tahoma"/>
          <w:sz w:val="22"/>
          <w:szCs w:val="22"/>
        </w:rPr>
        <w:t>El profesional propuesto acreditará tener experiencia como Asistente o Residente de Obras en Edificaciones</w:t>
      </w:r>
      <w:r w:rsidRPr="00230E6E">
        <w:rPr>
          <w:rFonts w:ascii="Tahoma" w:hAnsi="Tahoma" w:cs="Tahoma"/>
          <w:b/>
          <w:i/>
          <w:sz w:val="22"/>
          <w:szCs w:val="22"/>
        </w:rPr>
        <w:t xml:space="preserve"> en un periodo no menos a tres (3) años acumulados, estos requisitos deberán ser sustentados mediante copias de los contratos de obra y/o conformidad de servicios y/o certificados y/o constancias, estos dos últimos documentos podrán ser sustituidos en caso de ser residentes de obra por el Acta de recepción, siempre y cuando estén suscritos por el Residente de Obra </w:t>
      </w:r>
      <w:r>
        <w:rPr>
          <w:rFonts w:ascii="Tahoma" w:hAnsi="Tahoma" w:cs="Tahoma"/>
          <w:b/>
          <w:i/>
          <w:sz w:val="22"/>
          <w:szCs w:val="22"/>
        </w:rPr>
        <w:t>(No es válida el Acta si no figura el cargo con nombre propio) El valor mínimo de cada obra no deberá ser inferior al 8% del valor referencial de la presente convocatoria.</w:t>
      </w:r>
    </w:p>
    <w:p w:rsidR="00B6275A" w:rsidRPr="00230E6E" w:rsidRDefault="00B6275A" w:rsidP="00B6275A">
      <w:pPr>
        <w:pStyle w:val="Prrafodelista"/>
        <w:tabs>
          <w:tab w:val="left" w:pos="426"/>
        </w:tabs>
        <w:autoSpaceDE w:val="0"/>
        <w:autoSpaceDN w:val="0"/>
        <w:adjustRightInd w:val="0"/>
        <w:ind w:left="426"/>
        <w:jc w:val="both"/>
        <w:rPr>
          <w:rFonts w:ascii="Tahoma" w:hAnsi="Tahoma" w:cs="Tahoma"/>
          <w:i/>
          <w:sz w:val="22"/>
          <w:szCs w:val="22"/>
        </w:rPr>
      </w:pPr>
    </w:p>
    <w:p w:rsidR="00B6275A" w:rsidRPr="00466EB3" w:rsidRDefault="00B6275A" w:rsidP="00B6275A">
      <w:pPr>
        <w:pStyle w:val="Prrafodelista"/>
        <w:numPr>
          <w:ilvl w:val="0"/>
          <w:numId w:val="1"/>
        </w:numPr>
        <w:tabs>
          <w:tab w:val="left" w:pos="426"/>
        </w:tabs>
        <w:autoSpaceDE w:val="0"/>
        <w:autoSpaceDN w:val="0"/>
        <w:adjustRightInd w:val="0"/>
        <w:ind w:left="426" w:hanging="426"/>
        <w:jc w:val="both"/>
        <w:rPr>
          <w:rFonts w:ascii="Tahoma" w:hAnsi="Tahoma" w:cs="Tahoma"/>
          <w:sz w:val="22"/>
          <w:szCs w:val="22"/>
        </w:rPr>
      </w:pPr>
      <w:r w:rsidRPr="00466EB3">
        <w:rPr>
          <w:rFonts w:ascii="Tahoma" w:hAnsi="Tahoma" w:cs="Tahoma"/>
          <w:b/>
          <w:sz w:val="22"/>
          <w:szCs w:val="22"/>
          <w:u w:val="single"/>
        </w:rPr>
        <w:t>Propuesta Técnica del Impugnante para el Asistente de Obra</w:t>
      </w:r>
      <w:r w:rsidRPr="00466EB3">
        <w:rPr>
          <w:rFonts w:ascii="Tahoma" w:hAnsi="Tahoma" w:cs="Tahoma"/>
          <w:sz w:val="22"/>
          <w:szCs w:val="22"/>
        </w:rPr>
        <w:t>, en ese aspecto consignó:</w:t>
      </w:r>
    </w:p>
    <w:p w:rsidR="00B6275A" w:rsidRPr="00884455" w:rsidRDefault="00B6275A" w:rsidP="00B6275A">
      <w:pPr>
        <w:tabs>
          <w:tab w:val="left" w:pos="426"/>
        </w:tabs>
        <w:autoSpaceDE w:val="0"/>
        <w:autoSpaceDN w:val="0"/>
        <w:adjustRightInd w:val="0"/>
        <w:ind w:left="426"/>
        <w:jc w:val="both"/>
        <w:rPr>
          <w:rFonts w:ascii="Tahoma" w:hAnsi="Tahoma" w:cs="Tahoma"/>
          <w:sz w:val="22"/>
          <w:szCs w:val="22"/>
        </w:rPr>
      </w:pPr>
    </w:p>
    <w:tbl>
      <w:tblPr>
        <w:tblStyle w:val="Tablaconcuadrcula"/>
        <w:tblW w:w="0" w:type="auto"/>
        <w:tblInd w:w="534" w:type="dxa"/>
        <w:tblLook w:val="04A0"/>
      </w:tblPr>
      <w:tblGrid>
        <w:gridCol w:w="4677"/>
        <w:gridCol w:w="1701"/>
        <w:gridCol w:w="1560"/>
      </w:tblGrid>
      <w:tr w:rsidR="00B6275A" w:rsidRPr="00794292" w:rsidTr="005C4B97">
        <w:tc>
          <w:tcPr>
            <w:tcW w:w="4677" w:type="dxa"/>
          </w:tcPr>
          <w:p w:rsidR="00B6275A" w:rsidRPr="00CF2469" w:rsidRDefault="00B6275A" w:rsidP="005C4B97">
            <w:pPr>
              <w:tabs>
                <w:tab w:val="left" w:pos="426"/>
              </w:tabs>
              <w:autoSpaceDE w:val="0"/>
              <w:autoSpaceDN w:val="0"/>
              <w:adjustRightInd w:val="0"/>
              <w:jc w:val="center"/>
              <w:rPr>
                <w:rFonts w:ascii="Tahoma" w:hAnsi="Tahoma" w:cs="Tahoma"/>
                <w:b/>
              </w:rPr>
            </w:pPr>
            <w:r w:rsidRPr="00CF2469">
              <w:rPr>
                <w:rFonts w:ascii="Tahoma" w:hAnsi="Tahoma" w:cs="Tahoma"/>
                <w:b/>
              </w:rPr>
              <w:t>NOMBRE</w:t>
            </w:r>
          </w:p>
        </w:tc>
        <w:tc>
          <w:tcPr>
            <w:tcW w:w="1701" w:type="dxa"/>
          </w:tcPr>
          <w:p w:rsidR="00B6275A" w:rsidRPr="00CF2469" w:rsidRDefault="00B6275A" w:rsidP="005C4B97">
            <w:pPr>
              <w:tabs>
                <w:tab w:val="left" w:pos="426"/>
              </w:tabs>
              <w:autoSpaceDE w:val="0"/>
              <w:autoSpaceDN w:val="0"/>
              <w:adjustRightInd w:val="0"/>
              <w:jc w:val="center"/>
              <w:rPr>
                <w:rFonts w:ascii="Tahoma" w:hAnsi="Tahoma" w:cs="Tahoma"/>
                <w:b/>
              </w:rPr>
            </w:pPr>
            <w:r w:rsidRPr="00CF2469">
              <w:rPr>
                <w:rFonts w:ascii="Tahoma" w:hAnsi="Tahoma" w:cs="Tahoma"/>
                <w:b/>
              </w:rPr>
              <w:t>INICIO</w:t>
            </w:r>
          </w:p>
        </w:tc>
        <w:tc>
          <w:tcPr>
            <w:tcW w:w="1560" w:type="dxa"/>
          </w:tcPr>
          <w:p w:rsidR="00B6275A" w:rsidRPr="00CF2469" w:rsidRDefault="00B6275A" w:rsidP="005C4B97">
            <w:pPr>
              <w:tabs>
                <w:tab w:val="left" w:pos="426"/>
              </w:tabs>
              <w:autoSpaceDE w:val="0"/>
              <w:autoSpaceDN w:val="0"/>
              <w:adjustRightInd w:val="0"/>
              <w:jc w:val="center"/>
              <w:rPr>
                <w:rFonts w:ascii="Tahoma" w:hAnsi="Tahoma" w:cs="Tahoma"/>
                <w:b/>
              </w:rPr>
            </w:pPr>
            <w:r w:rsidRPr="00CF2469">
              <w:rPr>
                <w:rFonts w:ascii="Tahoma" w:hAnsi="Tahoma" w:cs="Tahoma"/>
                <w:b/>
              </w:rPr>
              <w:t>TERMINO</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IE 10125 Carmelo Feliz Medrano</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12.08.2010</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30.11.2010</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IE 11017 Nicolás la Torre García-Chiclayo</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08.01.2010</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06.07.2010</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Escuela de Arte Mario Urteaga</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10.11.2006</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17.11.2007</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CEO Industrial y Artesanal Modelo 01-Chiclayo</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01.08.2005</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31.01.2006</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Multifamiliar costa Castaña</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01.01.2009</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05.01.2010</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Hogar San Juan Bosco</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01.09.2007</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31.01.2008</w:t>
            </w:r>
          </w:p>
        </w:tc>
      </w:tr>
      <w:tr w:rsidR="00B6275A" w:rsidRPr="00794292" w:rsidTr="005C4B97">
        <w:tc>
          <w:tcPr>
            <w:tcW w:w="467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CE 11020 Diego Ferre</w:t>
            </w:r>
          </w:p>
        </w:tc>
        <w:tc>
          <w:tcPr>
            <w:tcW w:w="1701"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01.07.1998</w:t>
            </w:r>
          </w:p>
        </w:tc>
        <w:tc>
          <w:tcPr>
            <w:tcW w:w="1560" w:type="dxa"/>
          </w:tcPr>
          <w:p w:rsidR="00B6275A" w:rsidRPr="00794292" w:rsidRDefault="00B6275A" w:rsidP="005C4B97">
            <w:pPr>
              <w:tabs>
                <w:tab w:val="left" w:pos="426"/>
              </w:tabs>
              <w:autoSpaceDE w:val="0"/>
              <w:autoSpaceDN w:val="0"/>
              <w:adjustRightInd w:val="0"/>
              <w:jc w:val="center"/>
              <w:rPr>
                <w:rFonts w:ascii="Tahoma" w:hAnsi="Tahoma" w:cs="Tahoma"/>
              </w:rPr>
            </w:pPr>
            <w:r w:rsidRPr="00794292">
              <w:rPr>
                <w:rFonts w:ascii="Tahoma" w:hAnsi="Tahoma" w:cs="Tahoma"/>
              </w:rPr>
              <w:t>31.12.1998</w:t>
            </w:r>
          </w:p>
        </w:tc>
      </w:tr>
    </w:tbl>
    <w:p w:rsidR="00B6275A" w:rsidRDefault="00B6275A" w:rsidP="00B6275A">
      <w:pPr>
        <w:rPr>
          <w:rFonts w:ascii="Tahoma" w:hAnsi="Tahoma" w:cs="Tahoma"/>
          <w:sz w:val="22"/>
          <w:szCs w:val="22"/>
        </w:rPr>
      </w:pPr>
    </w:p>
    <w:p w:rsidR="00B6275A" w:rsidRPr="00906FAC" w:rsidRDefault="00B6275A" w:rsidP="00B6275A">
      <w:pPr>
        <w:rPr>
          <w:rFonts w:ascii="Tahoma" w:hAnsi="Tahoma" w:cs="Tahoma"/>
          <w:sz w:val="22"/>
          <w:szCs w:val="22"/>
        </w:rPr>
      </w:pPr>
    </w:p>
    <w:p w:rsidR="00B6275A" w:rsidRDefault="00B6275A" w:rsidP="00B6275A">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Pr>
          <w:rFonts w:ascii="Tahoma" w:hAnsi="Tahoma" w:cs="Tahoma"/>
          <w:b/>
          <w:sz w:val="22"/>
          <w:szCs w:val="22"/>
          <w:u w:val="single"/>
        </w:rPr>
        <w:t>Lo argumentado por el tercero administrado y el respectivo análisis r</w:t>
      </w:r>
      <w:r w:rsidRPr="00794292">
        <w:rPr>
          <w:rFonts w:ascii="Tahoma" w:hAnsi="Tahoma" w:cs="Tahoma"/>
          <w:b/>
          <w:sz w:val="22"/>
          <w:szCs w:val="22"/>
          <w:u w:val="single"/>
        </w:rPr>
        <w:t>especto a la experiencia del propuesto Ingeniero Asistente de Obra, el Sr. Alberto Guerrero Fawks.</w:t>
      </w: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IE 11017 Nicolás la Torre García-Chiclayo</w:t>
      </w: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p>
    <w:p w:rsidR="00B6275A" w:rsidRDefault="00B6275A" w:rsidP="00A20614">
      <w:pPr>
        <w:pStyle w:val="Prrafodelista"/>
        <w:numPr>
          <w:ilvl w:val="2"/>
          <w:numId w:val="37"/>
        </w:numPr>
        <w:tabs>
          <w:tab w:val="left" w:pos="426"/>
        </w:tabs>
        <w:autoSpaceDE w:val="0"/>
        <w:autoSpaceDN w:val="0"/>
        <w:adjustRightInd w:val="0"/>
        <w:ind w:left="1134" w:hanging="708"/>
        <w:jc w:val="both"/>
        <w:rPr>
          <w:rFonts w:ascii="Tahoma" w:hAnsi="Tahoma" w:cs="Tahoma"/>
          <w:sz w:val="22"/>
          <w:szCs w:val="22"/>
        </w:rPr>
      </w:pPr>
      <w:r w:rsidRPr="00794292">
        <w:rPr>
          <w:rFonts w:ascii="Tahoma" w:hAnsi="Tahoma" w:cs="Tahoma"/>
          <w:sz w:val="22"/>
          <w:szCs w:val="22"/>
        </w:rPr>
        <w:t xml:space="preserve">El impugnante indicó en su propuesta técnica que el mencionado ingeniero trabajó como ingeniero residente de obra en la LP Nº 22-2009-ED-UE 108 “Sustitución de la IE 11017 Nicolás la Torre García Chiclayo-Lambayeque” del 08/01/2010 al 06/07/2010, es decir 5 meses y 28 días. Adjuntando el correspondiente Certificado, obrante en el folio 114 </w:t>
      </w:r>
      <w:r>
        <w:rPr>
          <w:rFonts w:ascii="Tahoma" w:hAnsi="Tahoma" w:cs="Tahoma"/>
          <w:sz w:val="22"/>
          <w:szCs w:val="22"/>
        </w:rPr>
        <w:t>del expediente</w:t>
      </w:r>
      <w:r w:rsidRPr="00794292">
        <w:rPr>
          <w:rFonts w:ascii="Tahoma" w:hAnsi="Tahoma" w:cs="Tahoma"/>
          <w:sz w:val="22"/>
          <w:szCs w:val="22"/>
        </w:rPr>
        <w:t>, donde se aprecia las fechas señaladas.</w:t>
      </w:r>
    </w:p>
    <w:p w:rsidR="00B6275A" w:rsidRDefault="00B6275A" w:rsidP="00A20614">
      <w:pPr>
        <w:pStyle w:val="Prrafodelista"/>
        <w:numPr>
          <w:ilvl w:val="2"/>
          <w:numId w:val="37"/>
        </w:numPr>
        <w:tabs>
          <w:tab w:val="left" w:pos="426"/>
        </w:tabs>
        <w:autoSpaceDE w:val="0"/>
        <w:autoSpaceDN w:val="0"/>
        <w:adjustRightInd w:val="0"/>
        <w:ind w:left="1134" w:hanging="708"/>
        <w:jc w:val="both"/>
        <w:rPr>
          <w:rFonts w:ascii="Tahoma" w:hAnsi="Tahoma" w:cs="Tahoma"/>
          <w:sz w:val="22"/>
          <w:szCs w:val="22"/>
        </w:rPr>
      </w:pPr>
      <w:r w:rsidRPr="00A20614">
        <w:rPr>
          <w:rFonts w:ascii="Tahoma" w:hAnsi="Tahoma" w:cs="Tahoma"/>
          <w:sz w:val="22"/>
          <w:szCs w:val="22"/>
        </w:rPr>
        <w:t xml:space="preserve">El tercero administrado hace referencia a un Acta de Recepción de obra obrante en el folio 359 del expediente y que corresponde a “Sustitución de </w:t>
      </w:r>
      <w:r w:rsidRPr="00A20614">
        <w:rPr>
          <w:rFonts w:ascii="Tahoma" w:hAnsi="Tahoma" w:cs="Tahoma"/>
          <w:sz w:val="22"/>
          <w:szCs w:val="22"/>
        </w:rPr>
        <w:lastRenderedPageBreak/>
        <w:t>la Infraestructura y equipamiento de la Institución educativa 11524-Gregorio Ramírez Fanning –Cayalti-Chiclayo-Lambayeque” señalando que el periodo de ejecución donde trabajó como residente el ingeniero propuesto es del 15.08.2009 al 11.04.2010, representado por 7 meses y 26 días y señalando que no se puede considerar como experiencia el periodo subsumido.</w:t>
      </w:r>
    </w:p>
    <w:p w:rsidR="00B6275A" w:rsidRPr="00A20614" w:rsidRDefault="00B6275A" w:rsidP="00A20614">
      <w:pPr>
        <w:pStyle w:val="Prrafodelista"/>
        <w:numPr>
          <w:ilvl w:val="2"/>
          <w:numId w:val="37"/>
        </w:numPr>
        <w:tabs>
          <w:tab w:val="left" w:pos="426"/>
        </w:tabs>
        <w:autoSpaceDE w:val="0"/>
        <w:autoSpaceDN w:val="0"/>
        <w:adjustRightInd w:val="0"/>
        <w:ind w:left="1134" w:hanging="708"/>
        <w:jc w:val="both"/>
        <w:rPr>
          <w:rFonts w:ascii="Tahoma" w:hAnsi="Tahoma" w:cs="Tahoma"/>
          <w:sz w:val="22"/>
          <w:szCs w:val="22"/>
        </w:rPr>
      </w:pPr>
      <w:r w:rsidRPr="00A20614">
        <w:rPr>
          <w:rFonts w:ascii="Tahoma" w:hAnsi="Tahoma" w:cs="Tahoma"/>
          <w:sz w:val="22"/>
          <w:szCs w:val="22"/>
        </w:rPr>
        <w:t>Sobre el particular, cabe señalar que el Acta de recepción referida pertenece a una obra diferente, a la Licitación Pública Nº 001-2009-MDC, y no así a la LP Nº 22-2009-ED-UE 108, tal como indica el Tercero Administrado. En dicha obra fue ingeniero residente de obra el Sr. Alberto Guerrero Fawks, sin embargo, cabe señalar que de la revisión a la propuesta técnica se advierte que el acta de recepción de “Sustitución de la Infraestructura y equipamiento de la Institución educativa 11524-Gregortio Ramírez Fanning –Cayalti-Chiclayo-Lambayeque” (359 del expediente) fue consignado a fin de acreditar la experiencia del Consorcio en su calidad de postor, y no así para la acreditación de la experiencia en el caso del asistente de obra; por lo tanto, no resulta procedente acoger el cuestionamiento del tercero administrado en este extremo, más aun teniendo en cuenta que el acta de recepción de obra de la LP Nº 22-2009-ED-UE 108, obra en el folio 181 del expediente, donde se especifica el periodo consignado por el Impugnante del 08/01/2010 al 06/07/2010.</w:t>
      </w:r>
    </w:p>
    <w:p w:rsidR="00B6275A" w:rsidRPr="00794292" w:rsidRDefault="00B6275A" w:rsidP="00B6275A">
      <w:pPr>
        <w:tabs>
          <w:tab w:val="left" w:pos="567"/>
        </w:tabs>
        <w:autoSpaceDE w:val="0"/>
        <w:autoSpaceDN w:val="0"/>
        <w:adjustRightInd w:val="0"/>
        <w:ind w:left="567"/>
        <w:jc w:val="both"/>
        <w:rPr>
          <w:rFonts w:ascii="Tahoma" w:hAnsi="Tahoma" w:cs="Tahoma"/>
          <w:sz w:val="22"/>
          <w:szCs w:val="22"/>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Construcción de la escuela Arte Mario Urteaga-Cajamarca y de otro lado, el Mejoramiento de los servicios del Hogar San Juan Bosco-Pimentel</w:t>
      </w: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7"/>
          <w:numId w:val="21"/>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 xml:space="preserve">A fin de acreditar la experiencia del asistente propuesto obra en el folio 132 </w:t>
      </w:r>
      <w:r>
        <w:rPr>
          <w:rFonts w:ascii="Tahoma" w:hAnsi="Tahoma" w:cs="Tahoma"/>
          <w:sz w:val="22"/>
          <w:szCs w:val="22"/>
        </w:rPr>
        <w:t>del expediente el C</w:t>
      </w:r>
      <w:r w:rsidRPr="00794292">
        <w:rPr>
          <w:rFonts w:ascii="Tahoma" w:hAnsi="Tahoma" w:cs="Tahoma"/>
          <w:sz w:val="22"/>
          <w:szCs w:val="22"/>
        </w:rPr>
        <w:t xml:space="preserve">ertificado emitido por Sigma S.A.  </w:t>
      </w:r>
      <w:r>
        <w:rPr>
          <w:rFonts w:ascii="Tahoma" w:hAnsi="Tahoma" w:cs="Tahoma"/>
          <w:sz w:val="22"/>
          <w:szCs w:val="22"/>
        </w:rPr>
        <w:t>el cual</w:t>
      </w:r>
      <w:r w:rsidRPr="00794292">
        <w:rPr>
          <w:rFonts w:ascii="Tahoma" w:hAnsi="Tahoma" w:cs="Tahoma"/>
          <w:sz w:val="22"/>
          <w:szCs w:val="22"/>
        </w:rPr>
        <w:t xml:space="preserve"> señala que se desempeñó como residente para la obra “Construcción de la escuela de Arte Mario Urteaga-Cajamarca” por el periodo del 10.11.2006 hasta el 17.11.2007, es decir, 1 año y 7 días.</w:t>
      </w:r>
    </w:p>
    <w:p w:rsidR="00B6275A" w:rsidRPr="00794292" w:rsidRDefault="00B6275A" w:rsidP="00B6275A">
      <w:pPr>
        <w:pStyle w:val="Prrafodelista"/>
        <w:numPr>
          <w:ilvl w:val="7"/>
          <w:numId w:val="21"/>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 xml:space="preserve">Asimismo, para acreditar la experiencia del asistente propuesto obra en el folio 158 </w:t>
      </w:r>
      <w:r>
        <w:rPr>
          <w:rFonts w:ascii="Tahoma" w:hAnsi="Tahoma" w:cs="Tahoma"/>
          <w:sz w:val="22"/>
          <w:szCs w:val="22"/>
        </w:rPr>
        <w:t>del expediente</w:t>
      </w:r>
      <w:r w:rsidRPr="00794292">
        <w:rPr>
          <w:rFonts w:ascii="Tahoma" w:hAnsi="Tahoma" w:cs="Tahoma"/>
          <w:sz w:val="22"/>
          <w:szCs w:val="22"/>
        </w:rPr>
        <w:t xml:space="preserve"> </w:t>
      </w:r>
      <w:r>
        <w:rPr>
          <w:rFonts w:ascii="Tahoma" w:hAnsi="Tahoma" w:cs="Tahoma"/>
          <w:sz w:val="22"/>
          <w:szCs w:val="22"/>
        </w:rPr>
        <w:t>el C</w:t>
      </w:r>
      <w:r w:rsidRPr="00794292">
        <w:rPr>
          <w:rFonts w:ascii="Tahoma" w:hAnsi="Tahoma" w:cs="Tahoma"/>
          <w:sz w:val="22"/>
          <w:szCs w:val="22"/>
        </w:rPr>
        <w:t xml:space="preserve">ertificado emitido por G. Corporación SAC </w:t>
      </w:r>
      <w:r>
        <w:rPr>
          <w:rFonts w:ascii="Tahoma" w:hAnsi="Tahoma" w:cs="Tahoma"/>
          <w:sz w:val="22"/>
          <w:szCs w:val="22"/>
        </w:rPr>
        <w:t>el cual</w:t>
      </w:r>
      <w:r w:rsidRPr="00794292">
        <w:rPr>
          <w:rFonts w:ascii="Tahoma" w:hAnsi="Tahoma" w:cs="Tahoma"/>
          <w:sz w:val="22"/>
          <w:szCs w:val="22"/>
        </w:rPr>
        <w:t xml:space="preserve"> señala que se desempeñó como residente para la obra “Mejoramiento de los servicios del hogar San Juan Bosco” por el periodo de 09.2007 hasta el 01.2008,  es decir, 5 meses.</w:t>
      </w:r>
    </w:p>
    <w:p w:rsidR="00B6275A" w:rsidRPr="00794292" w:rsidRDefault="00B6275A" w:rsidP="00B6275A">
      <w:pPr>
        <w:pStyle w:val="Prrafodelista"/>
        <w:numPr>
          <w:ilvl w:val="7"/>
          <w:numId w:val="21"/>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El tercero administrado señala que existe superposición en los días que laboró el citado ingeniero, por lo tanto que no corresponde sumar separadamente las experiencias sino interpolándolas.</w:t>
      </w:r>
    </w:p>
    <w:p w:rsidR="00B6275A" w:rsidRPr="00794292" w:rsidRDefault="00B6275A" w:rsidP="00B6275A">
      <w:pPr>
        <w:pStyle w:val="Prrafodelista"/>
        <w:numPr>
          <w:ilvl w:val="7"/>
          <w:numId w:val="21"/>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 xml:space="preserve">Sobre el particular, existe un periodo que se encuentra subsumido, comprendido entre el 01.09.2007 al 17.11.2007, por el que no es posible establecer en cuál de las dos obras se encontró ejerciendo la residencia en dicho periodo; atendiendo a ello, corresponde únicamente, a fin de verificar la acreditación de su experiencia, tomar en cuenta en virtud de los certificados presentados, el periodo que se superpone en ambas, ya que sólo en esos </w:t>
      </w:r>
      <w:r w:rsidRPr="00794292">
        <w:rPr>
          <w:rFonts w:ascii="Tahoma" w:hAnsi="Tahoma" w:cs="Tahoma"/>
          <w:sz w:val="22"/>
          <w:szCs w:val="22"/>
        </w:rPr>
        <w:lastRenderedPageBreak/>
        <w:t>periodos se verifica que el residente estuvo en una y otra obra de manera independiente.</w:t>
      </w:r>
    </w:p>
    <w:p w:rsidR="00B6275A" w:rsidRPr="00794292" w:rsidRDefault="00B6275A" w:rsidP="00B6275A">
      <w:pPr>
        <w:pStyle w:val="Prrafodelista"/>
        <w:numPr>
          <w:ilvl w:val="7"/>
          <w:numId w:val="21"/>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 xml:space="preserve">En ese sentido, el periodo que se superpone está comprendido entre el 10.11.2006 hasta el 31.08.2007 y el comprendido entre 18.11.2007 al 31.01.2008 (no comprende el periodo subsumido, es decir, del 01.09.2007 al 17.11.2007). </w:t>
      </w:r>
    </w:p>
    <w:p w:rsidR="00B6275A" w:rsidRPr="00794292" w:rsidRDefault="00B6275A" w:rsidP="00B6275A">
      <w:pPr>
        <w:pStyle w:val="Prrafodelista"/>
        <w:numPr>
          <w:ilvl w:val="7"/>
          <w:numId w:val="21"/>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Por lo tanto, estaría acreditad</w:t>
      </w:r>
      <w:r>
        <w:rPr>
          <w:rFonts w:ascii="Tahoma" w:hAnsi="Tahoma" w:cs="Tahoma"/>
          <w:sz w:val="22"/>
          <w:szCs w:val="22"/>
        </w:rPr>
        <w:t>a</w:t>
      </w:r>
      <w:r w:rsidRPr="00794292">
        <w:rPr>
          <w:rFonts w:ascii="Tahoma" w:hAnsi="Tahoma" w:cs="Tahoma"/>
          <w:sz w:val="22"/>
          <w:szCs w:val="22"/>
        </w:rPr>
        <w:t xml:space="preserve"> su experiencia en la primera obra un periodo de 9 meses y 21 días (del 10.11.2006 al 31.08.2007) y en la segunda, 2 meses y 13 días (del 18.11.2007 al 31.01.2008), es decir, la sumatoria de experiencias en ambas obras resulta un periodo total de 11 meses y 4 días.</w:t>
      </w:r>
    </w:p>
    <w:p w:rsidR="00B6275A" w:rsidRPr="00794292" w:rsidRDefault="00B6275A" w:rsidP="00B6275A">
      <w:pPr>
        <w:pStyle w:val="Prrafodelista"/>
        <w:tabs>
          <w:tab w:val="left" w:pos="426"/>
        </w:tabs>
        <w:autoSpaceDE w:val="0"/>
        <w:autoSpaceDN w:val="0"/>
        <w:adjustRightInd w:val="0"/>
        <w:ind w:left="709"/>
        <w:jc w:val="both"/>
        <w:rPr>
          <w:rFonts w:ascii="Tahoma" w:hAnsi="Tahoma" w:cs="Tahoma"/>
          <w:sz w:val="22"/>
          <w:szCs w:val="22"/>
        </w:rPr>
      </w:pP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Construcción del CEO industrial  y artesanal modelo 1-Chiclayo</w:t>
      </w: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0"/>
          <w:numId w:val="22"/>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 xml:space="preserve">En el folio 138 </w:t>
      </w:r>
      <w:r>
        <w:rPr>
          <w:rFonts w:ascii="Tahoma" w:hAnsi="Tahoma" w:cs="Tahoma"/>
          <w:sz w:val="22"/>
          <w:szCs w:val="22"/>
        </w:rPr>
        <w:t>del expediente</w:t>
      </w:r>
      <w:r w:rsidRPr="00794292">
        <w:rPr>
          <w:rFonts w:ascii="Tahoma" w:hAnsi="Tahoma" w:cs="Tahoma"/>
          <w:sz w:val="22"/>
          <w:szCs w:val="22"/>
        </w:rPr>
        <w:t xml:space="preserve"> y no en el 034 como señala el tercero administrado</w:t>
      </w:r>
      <w:r>
        <w:rPr>
          <w:rFonts w:ascii="Tahoma" w:hAnsi="Tahoma" w:cs="Tahoma"/>
          <w:sz w:val="22"/>
          <w:szCs w:val="22"/>
        </w:rPr>
        <w:t>,</w:t>
      </w:r>
      <w:r w:rsidRPr="00794292">
        <w:rPr>
          <w:rFonts w:ascii="Tahoma" w:hAnsi="Tahoma" w:cs="Tahoma"/>
          <w:sz w:val="22"/>
          <w:szCs w:val="22"/>
        </w:rPr>
        <w:t xml:space="preserve"> se encuentra el certificado emitido por PROINCO SRL, a través del cual </w:t>
      </w:r>
      <w:r>
        <w:rPr>
          <w:rFonts w:ascii="Tahoma" w:hAnsi="Tahoma" w:cs="Tahoma"/>
          <w:sz w:val="22"/>
          <w:szCs w:val="22"/>
        </w:rPr>
        <w:t>señala</w:t>
      </w:r>
      <w:r w:rsidRPr="00794292">
        <w:rPr>
          <w:rFonts w:ascii="Tahoma" w:hAnsi="Tahoma" w:cs="Tahoma"/>
          <w:sz w:val="22"/>
          <w:szCs w:val="22"/>
        </w:rPr>
        <w:t xml:space="preserve"> que el mencionado ingeniero trabajó como ingeniero residente desde agosto de 2005 a enero de 2006.</w:t>
      </w:r>
    </w:p>
    <w:p w:rsidR="00B6275A" w:rsidRPr="00794292" w:rsidRDefault="00B6275A" w:rsidP="00B6275A">
      <w:pPr>
        <w:pStyle w:val="Prrafodelista"/>
        <w:numPr>
          <w:ilvl w:val="0"/>
          <w:numId w:val="22"/>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El tercero administrado señala que la propuesta debe estar conformada por documentos que guarden precisión y objetividad, por lo tanto que la consignación de los meses sin precisar las fechas no permiten cuantificar el periodo total de su experiencia.</w:t>
      </w:r>
    </w:p>
    <w:p w:rsidR="00B6275A" w:rsidRPr="00794292" w:rsidRDefault="00B6275A" w:rsidP="00B6275A">
      <w:pPr>
        <w:pStyle w:val="Prrafodelista"/>
        <w:numPr>
          <w:ilvl w:val="0"/>
          <w:numId w:val="22"/>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 xml:space="preserve">Sin embargo, cabe señalar que en el folio 104 </w:t>
      </w:r>
      <w:r>
        <w:rPr>
          <w:rFonts w:ascii="Tahoma" w:hAnsi="Tahoma" w:cs="Tahoma"/>
          <w:sz w:val="22"/>
          <w:szCs w:val="22"/>
        </w:rPr>
        <w:t>del expediente</w:t>
      </w:r>
      <w:r w:rsidRPr="00794292">
        <w:rPr>
          <w:rFonts w:ascii="Tahoma" w:hAnsi="Tahoma" w:cs="Tahoma"/>
          <w:sz w:val="22"/>
          <w:szCs w:val="22"/>
        </w:rPr>
        <w:t xml:space="preserve"> </w:t>
      </w:r>
      <w:r>
        <w:rPr>
          <w:rFonts w:ascii="Tahoma" w:hAnsi="Tahoma" w:cs="Tahoma"/>
          <w:sz w:val="22"/>
          <w:szCs w:val="22"/>
        </w:rPr>
        <w:t xml:space="preserve">(Anexo 8) </w:t>
      </w:r>
      <w:r w:rsidRPr="00794292">
        <w:rPr>
          <w:rFonts w:ascii="Tahoma" w:hAnsi="Tahoma" w:cs="Tahoma"/>
          <w:sz w:val="22"/>
          <w:szCs w:val="22"/>
        </w:rPr>
        <w:t xml:space="preserve">se aprecia la relación de obras a considerar para acreditar la experiencia del ingeniero propuesto. En </w:t>
      </w:r>
      <w:r>
        <w:rPr>
          <w:rFonts w:ascii="Tahoma" w:hAnsi="Tahoma" w:cs="Tahoma"/>
          <w:sz w:val="22"/>
          <w:szCs w:val="22"/>
        </w:rPr>
        <w:t>dicho Anexo</w:t>
      </w:r>
      <w:r w:rsidRPr="00794292">
        <w:rPr>
          <w:rFonts w:ascii="Tahoma" w:hAnsi="Tahoma" w:cs="Tahoma"/>
          <w:sz w:val="22"/>
          <w:szCs w:val="22"/>
        </w:rPr>
        <w:t xml:space="preserve"> se especifica que el periodo a considerar en la presente obra está comprendido entre el 01.08.2005 al 31.01.2006, por lo tanto, mediante dicho documento aclarativo se especifica las fechas en que trabajó el ingeniero citado, como residente de obra. En ese sentido, corresponde tener presente la Ley de Procedimiento Administrativo General que señala que en todo procedimiento administrativo, debe presumirse que los documentos presentados y las declaraciones formuladas por los administrados se encuentran conforme a lo prescrito por ley y responden a la verdad de los hechos que afirman, por lo tanto los documentos y declaraciones presentados en un proceso de selección gozan de la presunción de veracidad, por lo que se presume la certeza de su contenido, salvo que exista prueba en contrario. </w:t>
      </w:r>
    </w:p>
    <w:p w:rsidR="00B6275A" w:rsidRPr="00794292" w:rsidRDefault="00B6275A" w:rsidP="00B6275A">
      <w:pPr>
        <w:pStyle w:val="Prrafodelista"/>
        <w:numPr>
          <w:ilvl w:val="0"/>
          <w:numId w:val="22"/>
        </w:numPr>
        <w:tabs>
          <w:tab w:val="left" w:pos="426"/>
        </w:tabs>
        <w:autoSpaceDE w:val="0"/>
        <w:autoSpaceDN w:val="0"/>
        <w:adjustRightInd w:val="0"/>
        <w:ind w:left="709"/>
        <w:jc w:val="both"/>
        <w:rPr>
          <w:rFonts w:ascii="Tahoma" w:hAnsi="Tahoma" w:cs="Tahoma"/>
          <w:sz w:val="22"/>
          <w:szCs w:val="22"/>
        </w:rPr>
      </w:pPr>
      <w:r w:rsidRPr="00794292">
        <w:rPr>
          <w:rFonts w:ascii="Tahoma" w:hAnsi="Tahoma" w:cs="Tahoma"/>
          <w:sz w:val="22"/>
          <w:szCs w:val="22"/>
        </w:rPr>
        <w:t>Teniendo en cuenta ello, el periodo acreditado corresponde al de 6 meses.</w:t>
      </w:r>
    </w:p>
    <w:p w:rsidR="00B6275A" w:rsidRPr="00794292" w:rsidRDefault="00B6275A" w:rsidP="00B6275A">
      <w:pPr>
        <w:jc w:val="both"/>
        <w:rPr>
          <w:rFonts w:ascii="Tahoma" w:hAnsi="Tahoma" w:cs="Tahoma"/>
          <w:sz w:val="22"/>
          <w:szCs w:val="22"/>
        </w:rPr>
      </w:pP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Conjunto Residencial Multifamiliar Costa Castaña</w:t>
      </w: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0"/>
          <w:numId w:val="24"/>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 xml:space="preserve">En el folio 147 </w:t>
      </w:r>
      <w:r>
        <w:rPr>
          <w:rFonts w:ascii="Tahoma" w:hAnsi="Tahoma" w:cs="Tahoma"/>
          <w:sz w:val="22"/>
          <w:szCs w:val="22"/>
        </w:rPr>
        <w:t>del expediente</w:t>
      </w:r>
      <w:r w:rsidRPr="00794292">
        <w:rPr>
          <w:rFonts w:ascii="Tahoma" w:hAnsi="Tahoma" w:cs="Tahoma"/>
          <w:sz w:val="22"/>
          <w:szCs w:val="22"/>
        </w:rPr>
        <w:t xml:space="preserve"> y a fin de acreditar la experiencia del ingeniero referido se encuentra el Certificado emitido por Math Construcción y Consultoría SAC, ejecutando sus labores como asistente de obra entre el 01.01.2009 y 05.01.2010, es decir, 1 año y 4 días.</w:t>
      </w:r>
    </w:p>
    <w:p w:rsidR="00B6275A" w:rsidRPr="00794292" w:rsidRDefault="00B6275A" w:rsidP="00B6275A">
      <w:pPr>
        <w:pStyle w:val="Prrafodelista"/>
        <w:numPr>
          <w:ilvl w:val="0"/>
          <w:numId w:val="24"/>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 xml:space="preserve">Sin embargo, el tercero administrado hace referencia al Acta de recepción de obra para la ejecución de la “Sustitución de la Infraestructura y equipamiento de la Institución Educativa Nº 11524 Gregorio Ramírez Fanning, Cayalti, </w:t>
      </w:r>
      <w:r w:rsidRPr="00794292">
        <w:rPr>
          <w:rFonts w:ascii="Tahoma" w:hAnsi="Tahoma" w:cs="Tahoma"/>
          <w:sz w:val="22"/>
          <w:szCs w:val="22"/>
        </w:rPr>
        <w:lastRenderedPageBreak/>
        <w:t>Chiclayo, Lambayeque (folio 359) donde el profesional propuesto se desempeñó como ingeniero residente de obra desde el 15.08.2009 al 11.04.2010, es decir 7 meses 26 días.</w:t>
      </w:r>
    </w:p>
    <w:p w:rsidR="00B6275A" w:rsidRPr="00794292" w:rsidRDefault="00B6275A" w:rsidP="00B6275A">
      <w:pPr>
        <w:pStyle w:val="Prrafodelista"/>
        <w:numPr>
          <w:ilvl w:val="0"/>
          <w:numId w:val="24"/>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 xml:space="preserve">El tercero administrado señala que existe un periodo subsumido que no </w:t>
      </w:r>
      <w:r>
        <w:rPr>
          <w:rFonts w:ascii="Tahoma" w:hAnsi="Tahoma" w:cs="Tahoma"/>
          <w:sz w:val="22"/>
          <w:szCs w:val="22"/>
        </w:rPr>
        <w:t xml:space="preserve">se debe tener en consideración </w:t>
      </w:r>
      <w:r w:rsidRPr="00794292">
        <w:rPr>
          <w:rFonts w:ascii="Tahoma" w:hAnsi="Tahoma" w:cs="Tahoma"/>
          <w:sz w:val="22"/>
          <w:szCs w:val="22"/>
        </w:rPr>
        <w:t>para la acreditación de la experiencia.</w:t>
      </w:r>
    </w:p>
    <w:p w:rsidR="00B6275A" w:rsidRPr="00794292" w:rsidRDefault="00B6275A" w:rsidP="00B6275A">
      <w:pPr>
        <w:pStyle w:val="Prrafodelista"/>
        <w:numPr>
          <w:ilvl w:val="0"/>
          <w:numId w:val="24"/>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 xml:space="preserve">Sobre el particular, cabe señalar que el Acta de recepción de obra para la ejecución de la “Sustitución de la Infraestructura y equipamiento de la Institución Educativa Nº 11524 Gregorio Ramírez Fanning, Cayalti, Chiclayo, Lambayeque (folio 359) fue presentada para acreditar la experiencia del consorcio y no así para el asistente de obra propuesto. </w:t>
      </w:r>
    </w:p>
    <w:p w:rsidR="00B6275A" w:rsidRPr="00794292" w:rsidRDefault="00B6275A" w:rsidP="00B6275A">
      <w:pPr>
        <w:pStyle w:val="Prrafodelista"/>
        <w:numPr>
          <w:ilvl w:val="0"/>
          <w:numId w:val="24"/>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De otro lado, es preciso tener en cuenta, que en la primera obra el ingeniero propuesto trabajó como asistente de obra, y en la segunda como resi</w:t>
      </w:r>
      <w:r>
        <w:rPr>
          <w:rFonts w:ascii="Tahoma" w:hAnsi="Tahoma" w:cs="Tahoma"/>
          <w:sz w:val="22"/>
          <w:szCs w:val="22"/>
        </w:rPr>
        <w:t>dente.</w:t>
      </w:r>
      <w:r w:rsidRPr="00794292">
        <w:rPr>
          <w:rFonts w:ascii="Tahoma" w:hAnsi="Tahoma" w:cs="Tahoma"/>
          <w:sz w:val="22"/>
          <w:szCs w:val="22"/>
        </w:rPr>
        <w:t xml:space="preserve"> Al respecto, cabe señalar que a diferencia del residente de obra, el asistente de obra puede no permanecer de modo permanente en la obra, en ese sentido, corresponde validar el certificado presentado en folio 147 respecto al Asistente de Obra a fin de acreditar la experiencia del ingeniero por un periodo comprendido entre el 01.01.2009 y 05.01.2010, es decir, 1 año y 4 días.</w:t>
      </w:r>
    </w:p>
    <w:p w:rsidR="00B6275A" w:rsidRPr="00794292" w:rsidRDefault="00B6275A" w:rsidP="00B6275A">
      <w:pPr>
        <w:ind w:left="426"/>
        <w:jc w:val="both"/>
        <w:rPr>
          <w:rFonts w:ascii="Tahoma" w:hAnsi="Tahoma" w:cs="Tahoma"/>
          <w:sz w:val="22"/>
          <w:szCs w:val="22"/>
        </w:rPr>
      </w:pP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Demolición, Construcción y Rehabilitación del CE Nº 11020 Diego Ferre-Chiclayo-Lambayeque</w:t>
      </w:r>
    </w:p>
    <w:p w:rsidR="00B6275A" w:rsidRPr="00794292" w:rsidRDefault="00B6275A" w:rsidP="00B6275A">
      <w:pPr>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0"/>
          <w:numId w:val="25"/>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 xml:space="preserve">En el folio 167 </w:t>
      </w:r>
      <w:r>
        <w:rPr>
          <w:rFonts w:ascii="Tahoma" w:hAnsi="Tahoma" w:cs="Tahoma"/>
          <w:sz w:val="22"/>
          <w:szCs w:val="22"/>
        </w:rPr>
        <w:t>del expediente</w:t>
      </w:r>
      <w:r w:rsidRPr="00794292">
        <w:rPr>
          <w:rFonts w:ascii="Tahoma" w:hAnsi="Tahoma" w:cs="Tahoma"/>
          <w:sz w:val="22"/>
          <w:szCs w:val="22"/>
        </w:rPr>
        <w:t xml:space="preserve"> se encuentra a fin de acreditar la experiencia del ingeniero propuesto el Certificado emitido por Plaza Carpio Contratistas Generales SA,  señal</w:t>
      </w:r>
      <w:r>
        <w:rPr>
          <w:rFonts w:ascii="Tahoma" w:hAnsi="Tahoma" w:cs="Tahoma"/>
          <w:sz w:val="22"/>
          <w:szCs w:val="22"/>
        </w:rPr>
        <w:t>ando que dicho ingeniero trabajó</w:t>
      </w:r>
      <w:r w:rsidRPr="00794292">
        <w:rPr>
          <w:rFonts w:ascii="Tahoma" w:hAnsi="Tahoma" w:cs="Tahoma"/>
          <w:sz w:val="22"/>
          <w:szCs w:val="22"/>
        </w:rPr>
        <w:t xml:space="preserve"> como residente de obra durante los meses de julio a diciembre de 1998.</w:t>
      </w:r>
    </w:p>
    <w:p w:rsidR="00B6275A" w:rsidRPr="00794292" w:rsidRDefault="00B6275A" w:rsidP="00B6275A">
      <w:pPr>
        <w:pStyle w:val="Prrafodelista"/>
        <w:numPr>
          <w:ilvl w:val="0"/>
          <w:numId w:val="25"/>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El tercero administrado señala que la propuesta debe estar conformada por documentos que guarden precisión y objetividad, por lo tanto que la consignación de los meses sin precisar las fechas no permiten cuantificar el periodo total de su experiencia, pero que podría contabilizarse desde el 31.07.1998 hasta el 01.12.1998</w:t>
      </w:r>
      <w:r>
        <w:rPr>
          <w:rFonts w:ascii="Tahoma" w:hAnsi="Tahoma" w:cs="Tahoma"/>
          <w:sz w:val="22"/>
          <w:szCs w:val="22"/>
        </w:rPr>
        <w:t>.</w:t>
      </w:r>
    </w:p>
    <w:p w:rsidR="00B6275A" w:rsidRPr="00794292" w:rsidRDefault="00B6275A" w:rsidP="00B6275A">
      <w:pPr>
        <w:pStyle w:val="Prrafodelista"/>
        <w:numPr>
          <w:ilvl w:val="0"/>
          <w:numId w:val="25"/>
        </w:numPr>
        <w:tabs>
          <w:tab w:val="left" w:pos="426"/>
        </w:tabs>
        <w:autoSpaceDE w:val="0"/>
        <w:autoSpaceDN w:val="0"/>
        <w:adjustRightInd w:val="0"/>
        <w:jc w:val="both"/>
        <w:rPr>
          <w:rFonts w:ascii="Tahoma" w:hAnsi="Tahoma" w:cs="Tahoma"/>
          <w:sz w:val="22"/>
          <w:szCs w:val="22"/>
        </w:rPr>
      </w:pPr>
      <w:r w:rsidRPr="00794292">
        <w:rPr>
          <w:rFonts w:ascii="Tahoma" w:hAnsi="Tahoma" w:cs="Tahoma"/>
          <w:sz w:val="22"/>
          <w:szCs w:val="22"/>
        </w:rPr>
        <w:t xml:space="preserve">Cabe señalar que en el folio 104 </w:t>
      </w:r>
      <w:r>
        <w:rPr>
          <w:rFonts w:ascii="Tahoma" w:hAnsi="Tahoma" w:cs="Tahoma"/>
          <w:sz w:val="22"/>
          <w:szCs w:val="22"/>
        </w:rPr>
        <w:t>del expediente</w:t>
      </w:r>
      <w:r w:rsidRPr="00794292">
        <w:rPr>
          <w:rFonts w:ascii="Tahoma" w:hAnsi="Tahoma" w:cs="Tahoma"/>
          <w:sz w:val="22"/>
          <w:szCs w:val="22"/>
        </w:rPr>
        <w:t xml:space="preserve"> se aprecia la relación de obras a considerar para la experiencia del asistente de obra propuesto, en el que se encuentra la presente referida. En dicha relación se especifica que los plazos a considerar están comprendidas entre el 01.07.1998 al 31.12.1998, por lo tanto, mediante dicho documento aclarativo se especifica y precisa las fechas en que trabajó el ingeniero referido, como residente de obra, que en virtud del Principio de Presunción de Veracidad. En ese sentido corresponde tener presente la Ley de Procedimiento Administrativo General que señala que en todo procedimiento administrativo, debe presumirse que los documentos presentados y las declaraciones formuladas por los administrados se encuentran conforme a lo prescrito por ley y responden a la verdad de los hechos que afirman, por lo tanto los documentos y declaraciones presentados en un proceso de selección gozan de la presunción de veracidad, por lo que se presume la certeza de su contenido, salvo que exista prueba en contrario. Por </w:t>
      </w:r>
      <w:r w:rsidRPr="00794292">
        <w:rPr>
          <w:rFonts w:ascii="Tahoma" w:hAnsi="Tahoma" w:cs="Tahoma"/>
          <w:sz w:val="22"/>
          <w:szCs w:val="22"/>
        </w:rPr>
        <w:lastRenderedPageBreak/>
        <w:t>lo tanto,  en dicho extremo corresponde contabilizar el plazo indicado en la propuesta comprendido entre el 01.07.1998 al 31.12.1998, es decir, 6 meses.</w:t>
      </w:r>
    </w:p>
    <w:p w:rsidR="00B6275A" w:rsidRPr="00794292" w:rsidRDefault="00B6275A" w:rsidP="00B6275A">
      <w:pPr>
        <w:pStyle w:val="Prrafodelista"/>
        <w:tabs>
          <w:tab w:val="left" w:pos="426"/>
        </w:tabs>
        <w:autoSpaceDE w:val="0"/>
        <w:autoSpaceDN w:val="0"/>
        <w:adjustRightInd w:val="0"/>
        <w:ind w:left="786"/>
        <w:jc w:val="both"/>
        <w:rPr>
          <w:rFonts w:ascii="Tahoma" w:hAnsi="Tahoma" w:cs="Tahoma"/>
          <w:sz w:val="22"/>
          <w:szCs w:val="22"/>
        </w:rPr>
      </w:pPr>
    </w:p>
    <w:p w:rsidR="00B6275A" w:rsidRDefault="00B6275A" w:rsidP="00B6275A">
      <w:pPr>
        <w:ind w:left="426"/>
        <w:jc w:val="both"/>
        <w:rPr>
          <w:rFonts w:ascii="Tahoma" w:hAnsi="Tahoma" w:cs="Tahoma"/>
          <w:sz w:val="22"/>
          <w:szCs w:val="22"/>
        </w:rPr>
      </w:pPr>
    </w:p>
    <w:p w:rsidR="00B6275A" w:rsidRPr="00794292" w:rsidRDefault="00B6275A" w:rsidP="00B6275A">
      <w:pPr>
        <w:ind w:left="426"/>
        <w:jc w:val="both"/>
        <w:rPr>
          <w:rFonts w:ascii="Tahoma" w:hAnsi="Tahoma" w:cs="Tahoma"/>
          <w:sz w:val="22"/>
          <w:szCs w:val="22"/>
        </w:rPr>
      </w:pPr>
      <w:r w:rsidRPr="00794292">
        <w:rPr>
          <w:rFonts w:ascii="Tahoma" w:hAnsi="Tahoma" w:cs="Tahoma"/>
          <w:sz w:val="22"/>
          <w:szCs w:val="22"/>
        </w:rPr>
        <w:t>En ese sentido, el tercero administrado señala que el impugnante no cumple con el RTM de los tres años como experiencia mínima, sino s</w:t>
      </w:r>
      <w:r>
        <w:rPr>
          <w:rFonts w:ascii="Tahoma" w:hAnsi="Tahoma" w:cs="Tahoma"/>
          <w:sz w:val="22"/>
          <w:szCs w:val="22"/>
        </w:rPr>
        <w:t>ó</w:t>
      </w:r>
      <w:r w:rsidRPr="00794292">
        <w:rPr>
          <w:rFonts w:ascii="Tahoma" w:hAnsi="Tahoma" w:cs="Tahoma"/>
          <w:sz w:val="22"/>
          <w:szCs w:val="22"/>
        </w:rPr>
        <w:t>lo 2 años, 4 meses y 24 días. Sin embargo, del análisis llevado a cabo en el extremo referido al asistente de obra y lo acreditado en cuanto a los requerimientos técnicos mínimos solicitados en las Bases resulta lo siguiente:</w:t>
      </w:r>
    </w:p>
    <w:p w:rsidR="00B6275A" w:rsidRDefault="00B6275A" w:rsidP="00B6275A">
      <w:pPr>
        <w:jc w:val="both"/>
        <w:rPr>
          <w:rFonts w:ascii="Tahoma" w:hAnsi="Tahoma" w:cs="Tahoma"/>
          <w:sz w:val="22"/>
          <w:szCs w:val="22"/>
        </w:rPr>
      </w:pPr>
    </w:p>
    <w:tbl>
      <w:tblPr>
        <w:tblStyle w:val="Tablaconcuadrcula"/>
        <w:tblW w:w="0" w:type="auto"/>
        <w:tblInd w:w="426" w:type="dxa"/>
        <w:tblLook w:val="04A0"/>
      </w:tblPr>
      <w:tblGrid>
        <w:gridCol w:w="531"/>
        <w:gridCol w:w="5530"/>
        <w:gridCol w:w="1134"/>
        <w:gridCol w:w="992"/>
      </w:tblGrid>
      <w:tr w:rsidR="00B6275A" w:rsidRPr="00794292" w:rsidTr="005C4B97">
        <w:tc>
          <w:tcPr>
            <w:tcW w:w="531" w:type="dxa"/>
          </w:tcPr>
          <w:p w:rsidR="00B6275A" w:rsidRPr="00794292" w:rsidRDefault="00B6275A" w:rsidP="005C4B97">
            <w:pPr>
              <w:jc w:val="center"/>
              <w:rPr>
                <w:rFonts w:ascii="Tahoma" w:hAnsi="Tahoma" w:cs="Tahoma"/>
                <w:b/>
              </w:rPr>
            </w:pPr>
            <w:r w:rsidRPr="00794292">
              <w:rPr>
                <w:rFonts w:ascii="Tahoma" w:hAnsi="Tahoma" w:cs="Tahoma"/>
                <w:b/>
              </w:rPr>
              <w:t>Nº</w:t>
            </w:r>
          </w:p>
        </w:tc>
        <w:tc>
          <w:tcPr>
            <w:tcW w:w="5530" w:type="dxa"/>
          </w:tcPr>
          <w:p w:rsidR="00B6275A" w:rsidRPr="00794292" w:rsidRDefault="00B6275A" w:rsidP="005C4B97">
            <w:pPr>
              <w:jc w:val="center"/>
              <w:rPr>
                <w:rFonts w:ascii="Tahoma" w:hAnsi="Tahoma" w:cs="Tahoma"/>
                <w:b/>
              </w:rPr>
            </w:pPr>
            <w:r w:rsidRPr="00794292">
              <w:rPr>
                <w:rFonts w:ascii="Tahoma" w:hAnsi="Tahoma" w:cs="Tahoma"/>
                <w:b/>
              </w:rPr>
              <w:t>NOMBRE DE LA OBRA</w:t>
            </w:r>
          </w:p>
        </w:tc>
        <w:tc>
          <w:tcPr>
            <w:tcW w:w="1134" w:type="dxa"/>
          </w:tcPr>
          <w:p w:rsidR="00B6275A" w:rsidRPr="00794292" w:rsidRDefault="00B6275A" w:rsidP="005C4B97">
            <w:pPr>
              <w:jc w:val="center"/>
              <w:rPr>
                <w:rFonts w:ascii="Tahoma" w:hAnsi="Tahoma" w:cs="Tahoma"/>
                <w:b/>
              </w:rPr>
            </w:pPr>
            <w:r w:rsidRPr="00794292">
              <w:rPr>
                <w:rFonts w:ascii="Tahoma" w:hAnsi="Tahoma" w:cs="Tahoma"/>
                <w:b/>
              </w:rPr>
              <w:t>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b/>
              </w:rPr>
            </w:pPr>
            <w:r w:rsidRPr="00794292">
              <w:rPr>
                <w:rFonts w:ascii="Tahoma" w:hAnsi="Tahoma" w:cs="Tahoma"/>
                <w:b/>
              </w:rPr>
              <w:t>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1</w:t>
            </w:r>
          </w:p>
        </w:tc>
        <w:tc>
          <w:tcPr>
            <w:tcW w:w="5530" w:type="dxa"/>
          </w:tcPr>
          <w:p w:rsidR="00B6275A" w:rsidRPr="00794292" w:rsidRDefault="00B6275A" w:rsidP="005C4B97">
            <w:pPr>
              <w:jc w:val="both"/>
              <w:rPr>
                <w:rFonts w:ascii="Tahoma" w:hAnsi="Tahoma" w:cs="Tahoma"/>
              </w:rPr>
            </w:pPr>
            <w:r w:rsidRPr="00794292">
              <w:rPr>
                <w:rFonts w:ascii="Tahoma" w:hAnsi="Tahoma" w:cs="Tahoma"/>
              </w:rPr>
              <w:t>Mejoramiento, sustitución de aulas IE 10125 Carmelo Félix Medrano</w:t>
            </w:r>
          </w:p>
        </w:tc>
        <w:tc>
          <w:tcPr>
            <w:tcW w:w="1134" w:type="dxa"/>
          </w:tcPr>
          <w:p w:rsidR="00B6275A" w:rsidRPr="00794292" w:rsidRDefault="00B6275A" w:rsidP="005C4B97">
            <w:pPr>
              <w:jc w:val="center"/>
              <w:rPr>
                <w:rFonts w:ascii="Tahoma" w:hAnsi="Tahoma" w:cs="Tahoma"/>
              </w:rPr>
            </w:pPr>
            <w:r w:rsidRPr="00794292">
              <w:rPr>
                <w:rFonts w:ascii="Tahoma" w:hAnsi="Tahoma" w:cs="Tahoma"/>
              </w:rPr>
              <w:t>3 meses</w:t>
            </w:r>
          </w:p>
        </w:tc>
        <w:tc>
          <w:tcPr>
            <w:tcW w:w="992" w:type="dxa"/>
            <w:tcBorders>
              <w:top w:val="nil"/>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18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2</w:t>
            </w:r>
          </w:p>
        </w:tc>
        <w:tc>
          <w:tcPr>
            <w:tcW w:w="5530" w:type="dxa"/>
          </w:tcPr>
          <w:p w:rsidR="00B6275A" w:rsidRPr="00794292" w:rsidRDefault="00B6275A" w:rsidP="005C4B97">
            <w:pPr>
              <w:jc w:val="both"/>
              <w:rPr>
                <w:rFonts w:ascii="Tahoma" w:hAnsi="Tahoma" w:cs="Tahoma"/>
              </w:rPr>
            </w:pPr>
            <w:r w:rsidRPr="00794292">
              <w:rPr>
                <w:rFonts w:ascii="Tahoma" w:hAnsi="Tahoma" w:cs="Tahoma"/>
              </w:rPr>
              <w:t>Sustitución de Infraestructura IE 11017 Nicolás la Torre García</w:t>
            </w:r>
          </w:p>
        </w:tc>
        <w:tc>
          <w:tcPr>
            <w:tcW w:w="1134" w:type="dxa"/>
          </w:tcPr>
          <w:p w:rsidR="00B6275A" w:rsidRPr="00794292" w:rsidRDefault="00B6275A" w:rsidP="005C4B97">
            <w:pPr>
              <w:jc w:val="center"/>
              <w:rPr>
                <w:rFonts w:ascii="Tahoma" w:hAnsi="Tahoma" w:cs="Tahoma"/>
              </w:rPr>
            </w:pPr>
            <w:r w:rsidRPr="00794292">
              <w:rPr>
                <w:rFonts w:ascii="Tahoma" w:hAnsi="Tahoma" w:cs="Tahoma"/>
              </w:rPr>
              <w:t>5 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28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3</w:t>
            </w:r>
          </w:p>
        </w:tc>
        <w:tc>
          <w:tcPr>
            <w:tcW w:w="5530" w:type="dxa"/>
          </w:tcPr>
          <w:p w:rsidR="00B6275A" w:rsidRPr="00794292" w:rsidRDefault="00B6275A" w:rsidP="005C4B97">
            <w:pPr>
              <w:jc w:val="both"/>
              <w:rPr>
                <w:rFonts w:ascii="Tahoma" w:hAnsi="Tahoma" w:cs="Tahoma"/>
              </w:rPr>
            </w:pPr>
            <w:r w:rsidRPr="00794292">
              <w:rPr>
                <w:rFonts w:ascii="Tahoma" w:hAnsi="Tahoma" w:cs="Tahoma"/>
              </w:rPr>
              <w:t>Construcción de la Escuela de Arte Mario Urteaga</w:t>
            </w:r>
          </w:p>
        </w:tc>
        <w:tc>
          <w:tcPr>
            <w:tcW w:w="1134" w:type="dxa"/>
          </w:tcPr>
          <w:p w:rsidR="00B6275A" w:rsidRPr="00794292" w:rsidRDefault="00B6275A" w:rsidP="005C4B97">
            <w:pPr>
              <w:jc w:val="center"/>
              <w:rPr>
                <w:rFonts w:ascii="Tahoma" w:hAnsi="Tahoma" w:cs="Tahoma"/>
              </w:rPr>
            </w:pPr>
            <w:r w:rsidRPr="00794292">
              <w:rPr>
                <w:rFonts w:ascii="Tahoma" w:hAnsi="Tahoma" w:cs="Tahoma"/>
              </w:rPr>
              <w:t>9 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21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4</w:t>
            </w:r>
          </w:p>
        </w:tc>
        <w:tc>
          <w:tcPr>
            <w:tcW w:w="5530" w:type="dxa"/>
          </w:tcPr>
          <w:p w:rsidR="00B6275A" w:rsidRPr="00794292" w:rsidRDefault="00B6275A" w:rsidP="005C4B97">
            <w:pPr>
              <w:jc w:val="both"/>
              <w:rPr>
                <w:rFonts w:ascii="Tahoma" w:hAnsi="Tahoma" w:cs="Tahoma"/>
              </w:rPr>
            </w:pPr>
            <w:r w:rsidRPr="00794292">
              <w:rPr>
                <w:rFonts w:ascii="Tahoma" w:hAnsi="Tahoma" w:cs="Tahoma"/>
              </w:rPr>
              <w:t>Construcción del CEO Industrial y Artesanal Modelo 01-Chiclayo</w:t>
            </w:r>
          </w:p>
        </w:tc>
        <w:tc>
          <w:tcPr>
            <w:tcW w:w="1134" w:type="dxa"/>
          </w:tcPr>
          <w:p w:rsidR="00B6275A" w:rsidRPr="00794292" w:rsidRDefault="00B6275A" w:rsidP="005C4B97">
            <w:pPr>
              <w:jc w:val="center"/>
              <w:rPr>
                <w:rFonts w:ascii="Tahoma" w:hAnsi="Tahoma" w:cs="Tahoma"/>
              </w:rPr>
            </w:pPr>
            <w:r w:rsidRPr="00794292">
              <w:rPr>
                <w:rFonts w:ascii="Tahoma" w:hAnsi="Tahoma" w:cs="Tahoma"/>
              </w:rPr>
              <w:t>6 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5</w:t>
            </w:r>
          </w:p>
        </w:tc>
        <w:tc>
          <w:tcPr>
            <w:tcW w:w="5530" w:type="dxa"/>
          </w:tcPr>
          <w:p w:rsidR="00B6275A" w:rsidRPr="00794292" w:rsidRDefault="00B6275A" w:rsidP="005C4B97">
            <w:pPr>
              <w:jc w:val="both"/>
              <w:rPr>
                <w:rFonts w:ascii="Tahoma" w:hAnsi="Tahoma" w:cs="Tahoma"/>
              </w:rPr>
            </w:pPr>
            <w:r w:rsidRPr="00794292">
              <w:rPr>
                <w:rFonts w:ascii="Tahoma" w:hAnsi="Tahoma" w:cs="Tahoma"/>
              </w:rPr>
              <w:t>Conjunto Residencial Multifamiliar Costa Castaña</w:t>
            </w:r>
          </w:p>
        </w:tc>
        <w:tc>
          <w:tcPr>
            <w:tcW w:w="1134" w:type="dxa"/>
          </w:tcPr>
          <w:p w:rsidR="00B6275A" w:rsidRPr="00794292" w:rsidRDefault="00B6275A" w:rsidP="005C4B97">
            <w:pPr>
              <w:jc w:val="center"/>
              <w:rPr>
                <w:rFonts w:ascii="Tahoma" w:hAnsi="Tahoma" w:cs="Tahoma"/>
              </w:rPr>
            </w:pPr>
            <w:r w:rsidRPr="00794292">
              <w:rPr>
                <w:rFonts w:ascii="Tahoma" w:hAnsi="Tahoma" w:cs="Tahoma"/>
              </w:rPr>
              <w:t>12 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4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6</w:t>
            </w:r>
          </w:p>
        </w:tc>
        <w:tc>
          <w:tcPr>
            <w:tcW w:w="5530" w:type="dxa"/>
          </w:tcPr>
          <w:p w:rsidR="00B6275A" w:rsidRPr="00794292" w:rsidRDefault="00B6275A" w:rsidP="005C4B97">
            <w:pPr>
              <w:jc w:val="both"/>
              <w:rPr>
                <w:rFonts w:ascii="Tahoma" w:hAnsi="Tahoma" w:cs="Tahoma"/>
              </w:rPr>
            </w:pPr>
            <w:r w:rsidRPr="00794292">
              <w:rPr>
                <w:rFonts w:ascii="Tahoma" w:hAnsi="Tahoma" w:cs="Tahoma"/>
              </w:rPr>
              <w:t>Mejoramiento de los Servicios del Hogar San Juan Bosco</w:t>
            </w:r>
          </w:p>
        </w:tc>
        <w:tc>
          <w:tcPr>
            <w:tcW w:w="1134" w:type="dxa"/>
          </w:tcPr>
          <w:p w:rsidR="00B6275A" w:rsidRPr="00794292" w:rsidRDefault="00B6275A" w:rsidP="005C4B97">
            <w:pPr>
              <w:jc w:val="center"/>
              <w:rPr>
                <w:rFonts w:ascii="Tahoma" w:hAnsi="Tahoma" w:cs="Tahoma"/>
              </w:rPr>
            </w:pPr>
            <w:r w:rsidRPr="00794292">
              <w:rPr>
                <w:rFonts w:ascii="Tahoma" w:hAnsi="Tahoma" w:cs="Tahoma"/>
              </w:rPr>
              <w:t>2 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13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7</w:t>
            </w:r>
          </w:p>
        </w:tc>
        <w:tc>
          <w:tcPr>
            <w:tcW w:w="5530" w:type="dxa"/>
            <w:tcBorders>
              <w:right w:val="single" w:sz="4" w:space="0" w:color="auto"/>
            </w:tcBorders>
          </w:tcPr>
          <w:p w:rsidR="00B6275A" w:rsidRPr="00794292" w:rsidRDefault="00B6275A" w:rsidP="005C4B97">
            <w:pPr>
              <w:jc w:val="both"/>
              <w:rPr>
                <w:rFonts w:ascii="Tahoma" w:hAnsi="Tahoma" w:cs="Tahoma"/>
              </w:rPr>
            </w:pPr>
            <w:r w:rsidRPr="00794292">
              <w:rPr>
                <w:rFonts w:ascii="Tahoma" w:hAnsi="Tahoma" w:cs="Tahoma"/>
              </w:rPr>
              <w:t>CE Nº 11020 “Diego Ferre”</w:t>
            </w:r>
          </w:p>
        </w:tc>
        <w:tc>
          <w:tcPr>
            <w:tcW w:w="1134" w:type="dxa"/>
            <w:tcBorders>
              <w:left w:val="single" w:sz="4" w:space="0" w:color="auto"/>
            </w:tcBorders>
          </w:tcPr>
          <w:p w:rsidR="00B6275A" w:rsidRPr="00794292" w:rsidRDefault="00B6275A" w:rsidP="005C4B97">
            <w:pPr>
              <w:jc w:val="center"/>
              <w:rPr>
                <w:rFonts w:ascii="Tahoma" w:hAnsi="Tahoma" w:cs="Tahoma"/>
              </w:rPr>
            </w:pPr>
            <w:r w:rsidRPr="00794292">
              <w:rPr>
                <w:rFonts w:ascii="Tahoma" w:hAnsi="Tahoma" w:cs="Tahoma"/>
              </w:rPr>
              <w:t>6 meses</w:t>
            </w:r>
          </w:p>
        </w:tc>
        <w:tc>
          <w:tcPr>
            <w:tcW w:w="992"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p>
        </w:tc>
      </w:tr>
      <w:tr w:rsidR="00B6275A" w:rsidRPr="00794292" w:rsidTr="005C4B97">
        <w:tblPrEx>
          <w:tblCellMar>
            <w:left w:w="70" w:type="dxa"/>
            <w:right w:w="70" w:type="dxa"/>
          </w:tblCellMar>
          <w:tblLook w:val="0000"/>
        </w:tblPrEx>
        <w:trPr>
          <w:trHeight w:val="464"/>
        </w:trPr>
        <w:tc>
          <w:tcPr>
            <w:tcW w:w="6061" w:type="dxa"/>
            <w:gridSpan w:val="2"/>
          </w:tcPr>
          <w:p w:rsidR="00B6275A" w:rsidRPr="00794292" w:rsidRDefault="00B6275A" w:rsidP="005C4B97">
            <w:pPr>
              <w:jc w:val="center"/>
              <w:rPr>
                <w:rFonts w:ascii="Tahoma" w:hAnsi="Tahoma" w:cs="Tahoma"/>
                <w:b/>
              </w:rPr>
            </w:pPr>
            <w:r w:rsidRPr="00794292">
              <w:rPr>
                <w:rFonts w:ascii="Tahoma" w:hAnsi="Tahoma" w:cs="Tahoma"/>
                <w:b/>
              </w:rPr>
              <w:t>TOTAL</w:t>
            </w:r>
          </w:p>
        </w:tc>
        <w:tc>
          <w:tcPr>
            <w:tcW w:w="2126" w:type="dxa"/>
            <w:gridSpan w:val="2"/>
          </w:tcPr>
          <w:p w:rsidR="00B6275A" w:rsidRPr="00794292" w:rsidRDefault="00B6275A" w:rsidP="005C4B97">
            <w:pPr>
              <w:jc w:val="center"/>
              <w:rPr>
                <w:rFonts w:ascii="Tahoma" w:hAnsi="Tahoma" w:cs="Tahoma"/>
              </w:rPr>
            </w:pPr>
            <w:r w:rsidRPr="00794292">
              <w:rPr>
                <w:rFonts w:ascii="Tahoma" w:hAnsi="Tahoma" w:cs="Tahoma"/>
              </w:rPr>
              <w:t>43 meses y 84 días (45 meses y 24 días)=</w:t>
            </w:r>
            <w:r w:rsidRPr="00794292">
              <w:rPr>
                <w:rFonts w:ascii="Tahoma" w:hAnsi="Tahoma" w:cs="Tahoma"/>
                <w:b/>
              </w:rPr>
              <w:t>3 años, 9 meses y 24 días.</w:t>
            </w:r>
          </w:p>
        </w:tc>
      </w:tr>
    </w:tbl>
    <w:p w:rsidR="00B6275A" w:rsidRDefault="00B6275A" w:rsidP="00B6275A">
      <w:pPr>
        <w:jc w:val="both"/>
        <w:rPr>
          <w:rFonts w:ascii="Tahoma" w:hAnsi="Tahoma" w:cs="Tahoma"/>
          <w:sz w:val="22"/>
          <w:szCs w:val="22"/>
        </w:rPr>
      </w:pPr>
    </w:p>
    <w:p w:rsidR="00B6275A" w:rsidRPr="00A20614" w:rsidRDefault="00B6275A" w:rsidP="00A20614">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A20614">
        <w:rPr>
          <w:rFonts w:ascii="Tahoma" w:hAnsi="Tahoma" w:cs="Tahoma"/>
          <w:sz w:val="22"/>
          <w:szCs w:val="22"/>
        </w:rPr>
        <w:t>En consecuencia, se aprecia que el impugnante ha acreditado la experiencia de su asistente propuesto en un periodo no menor a tres (3) años acumulados, por lo tanto, cumple con el RTM previsto para acreditar la experiencia del asistente de obra propuesto según las Bases Integradas.</w:t>
      </w:r>
    </w:p>
    <w:p w:rsidR="00A20614" w:rsidRPr="00A20614" w:rsidRDefault="00A20614" w:rsidP="00A20614">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A20614" w:rsidRDefault="00B6275A" w:rsidP="00A20614">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A20614">
        <w:rPr>
          <w:rFonts w:ascii="Tahoma" w:hAnsi="Tahoma" w:cs="Tahoma"/>
          <w:sz w:val="22"/>
          <w:szCs w:val="22"/>
        </w:rPr>
        <w:t>De otro lado, corresponde pronunciarse sobre los argumentos vertidos por el Tercero Administrado en los escritos presentados ante este Tribunal, señalando que según la propuesta técnica presentada por el impugnante, lo indicado en ella no cumple los requerimientos técnicos mínimos a fin de acreditar los requerimientos técnicos mínimos para el caso del residente de obra.</w:t>
      </w:r>
    </w:p>
    <w:p w:rsidR="00A20614" w:rsidRPr="00A20614" w:rsidRDefault="00A20614" w:rsidP="00A20614">
      <w:pPr>
        <w:pStyle w:val="Prrafodelista"/>
        <w:rPr>
          <w:rFonts w:ascii="Tahoma" w:hAnsi="Tahoma" w:cs="Tahoma"/>
          <w:b/>
          <w:sz w:val="22"/>
          <w:szCs w:val="22"/>
          <w:u w:val="single"/>
        </w:rPr>
      </w:pPr>
    </w:p>
    <w:p w:rsidR="00B6275A" w:rsidRPr="00A20614" w:rsidRDefault="00B6275A" w:rsidP="00A20614">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A20614">
        <w:rPr>
          <w:rFonts w:ascii="Tahoma" w:hAnsi="Tahoma" w:cs="Tahoma"/>
          <w:sz w:val="22"/>
          <w:szCs w:val="22"/>
        </w:rPr>
        <w:t>Previamente cabe indicar que las Bases Integradas establecían que para el caso de residente de obra se debía acreditar:</w:t>
      </w:r>
    </w:p>
    <w:p w:rsidR="00B6275A" w:rsidRPr="00794292" w:rsidRDefault="00B6275A" w:rsidP="00A20614">
      <w:pPr>
        <w:tabs>
          <w:tab w:val="left" w:pos="426"/>
        </w:tabs>
        <w:autoSpaceDE w:val="0"/>
        <w:autoSpaceDN w:val="0"/>
        <w:adjustRightInd w:val="0"/>
        <w:jc w:val="both"/>
        <w:rPr>
          <w:rFonts w:ascii="Tahoma" w:hAnsi="Tahoma" w:cs="Tahoma"/>
          <w:sz w:val="22"/>
          <w:szCs w:val="22"/>
        </w:rPr>
      </w:pPr>
    </w:p>
    <w:p w:rsidR="00B6275A" w:rsidRPr="00884455" w:rsidRDefault="00B6275A" w:rsidP="00B6275A">
      <w:pPr>
        <w:tabs>
          <w:tab w:val="left" w:pos="426"/>
        </w:tabs>
        <w:autoSpaceDE w:val="0"/>
        <w:autoSpaceDN w:val="0"/>
        <w:adjustRightInd w:val="0"/>
        <w:ind w:left="426"/>
        <w:jc w:val="both"/>
        <w:rPr>
          <w:rFonts w:ascii="Tahoma" w:hAnsi="Tahoma" w:cs="Tahoma"/>
          <w:b/>
          <w:sz w:val="22"/>
          <w:szCs w:val="22"/>
          <w:u w:val="single"/>
        </w:rPr>
      </w:pPr>
      <w:r>
        <w:rPr>
          <w:rFonts w:ascii="Tahoma" w:hAnsi="Tahoma" w:cs="Tahoma"/>
          <w:b/>
          <w:sz w:val="22"/>
          <w:szCs w:val="22"/>
          <w:u w:val="single"/>
        </w:rPr>
        <w:t>Bases Integradas: p</w:t>
      </w:r>
      <w:r w:rsidRPr="00884455">
        <w:rPr>
          <w:rFonts w:ascii="Tahoma" w:hAnsi="Tahoma" w:cs="Tahoma"/>
          <w:b/>
          <w:sz w:val="22"/>
          <w:szCs w:val="22"/>
          <w:u w:val="single"/>
        </w:rPr>
        <w:t xml:space="preserve">ara el </w:t>
      </w:r>
      <w:r>
        <w:rPr>
          <w:rFonts w:ascii="Tahoma" w:hAnsi="Tahoma" w:cs="Tahoma"/>
          <w:b/>
          <w:sz w:val="22"/>
          <w:szCs w:val="22"/>
          <w:u w:val="single"/>
        </w:rPr>
        <w:t>Residente</w:t>
      </w:r>
      <w:r w:rsidRPr="00884455">
        <w:rPr>
          <w:rFonts w:ascii="Tahoma" w:hAnsi="Tahoma" w:cs="Tahoma"/>
          <w:b/>
          <w:sz w:val="22"/>
          <w:szCs w:val="22"/>
          <w:u w:val="single"/>
        </w:rPr>
        <w:t xml:space="preserve"> de Obra:</w:t>
      </w:r>
    </w:p>
    <w:p w:rsidR="00B6275A" w:rsidRDefault="00B6275A" w:rsidP="00B6275A">
      <w:pPr>
        <w:tabs>
          <w:tab w:val="left" w:pos="426"/>
        </w:tabs>
        <w:autoSpaceDE w:val="0"/>
        <w:autoSpaceDN w:val="0"/>
        <w:adjustRightInd w:val="0"/>
        <w:ind w:left="426"/>
        <w:jc w:val="both"/>
        <w:rPr>
          <w:rFonts w:ascii="Arial Narrow" w:hAnsi="Arial Narrow" w:cs="Tahoma"/>
          <w:b/>
          <w:i/>
          <w:sz w:val="22"/>
          <w:szCs w:val="22"/>
        </w:rPr>
      </w:pPr>
    </w:p>
    <w:p w:rsidR="00B6275A" w:rsidRDefault="00B6275A" w:rsidP="00B6275A">
      <w:pPr>
        <w:pStyle w:val="Prrafodelista"/>
        <w:numPr>
          <w:ilvl w:val="0"/>
          <w:numId w:val="33"/>
        </w:numPr>
        <w:tabs>
          <w:tab w:val="left" w:pos="426"/>
        </w:tabs>
        <w:autoSpaceDE w:val="0"/>
        <w:autoSpaceDN w:val="0"/>
        <w:adjustRightInd w:val="0"/>
        <w:jc w:val="both"/>
        <w:rPr>
          <w:rFonts w:ascii="Tahoma" w:hAnsi="Tahoma" w:cs="Tahoma"/>
          <w:sz w:val="22"/>
          <w:szCs w:val="22"/>
        </w:rPr>
      </w:pPr>
      <w:r>
        <w:rPr>
          <w:rFonts w:ascii="Tahoma" w:hAnsi="Tahoma" w:cs="Tahoma"/>
          <w:sz w:val="22"/>
          <w:szCs w:val="22"/>
        </w:rPr>
        <w:lastRenderedPageBreak/>
        <w:t>Ser ingeniero civil colegiado (Adjuntar copia del Título Profesional correspondiente y del Diploma del Colegio de Ingenieros del Perú)</w:t>
      </w:r>
    </w:p>
    <w:p w:rsidR="00B6275A" w:rsidRDefault="00B6275A" w:rsidP="00B6275A">
      <w:pPr>
        <w:pStyle w:val="Prrafodelista"/>
        <w:tabs>
          <w:tab w:val="left" w:pos="426"/>
        </w:tabs>
        <w:autoSpaceDE w:val="0"/>
        <w:autoSpaceDN w:val="0"/>
        <w:adjustRightInd w:val="0"/>
        <w:ind w:left="1146"/>
        <w:jc w:val="both"/>
        <w:rPr>
          <w:rFonts w:ascii="Tahoma" w:hAnsi="Tahoma" w:cs="Tahoma"/>
          <w:sz w:val="22"/>
          <w:szCs w:val="22"/>
        </w:rPr>
      </w:pPr>
    </w:p>
    <w:p w:rsidR="00B6275A" w:rsidRPr="00884455" w:rsidRDefault="00B6275A" w:rsidP="00B6275A">
      <w:pPr>
        <w:pStyle w:val="Prrafodelista"/>
        <w:numPr>
          <w:ilvl w:val="0"/>
          <w:numId w:val="33"/>
        </w:numPr>
        <w:tabs>
          <w:tab w:val="left" w:pos="426"/>
        </w:tabs>
        <w:autoSpaceDE w:val="0"/>
        <w:autoSpaceDN w:val="0"/>
        <w:adjustRightInd w:val="0"/>
        <w:jc w:val="both"/>
        <w:rPr>
          <w:rFonts w:ascii="Tahoma" w:hAnsi="Tahoma" w:cs="Tahoma"/>
          <w:sz w:val="22"/>
          <w:szCs w:val="22"/>
        </w:rPr>
      </w:pPr>
      <w:r>
        <w:rPr>
          <w:rFonts w:ascii="Tahoma" w:hAnsi="Tahoma" w:cs="Tahoma"/>
          <w:sz w:val="22"/>
          <w:szCs w:val="22"/>
        </w:rPr>
        <w:t>El profesional propuesto acreditará tener experiencia como Residente de Obras similares al objeto de la convocatoria (Edificaciones)</w:t>
      </w:r>
      <w:r>
        <w:rPr>
          <w:rFonts w:ascii="Tahoma" w:hAnsi="Tahoma" w:cs="Tahoma"/>
          <w:b/>
          <w:i/>
          <w:sz w:val="22"/>
          <w:szCs w:val="22"/>
        </w:rPr>
        <w:t xml:space="preserve"> en un periodo no menor</w:t>
      </w:r>
      <w:r w:rsidRPr="00884455">
        <w:rPr>
          <w:rFonts w:ascii="Tahoma" w:hAnsi="Tahoma" w:cs="Tahoma"/>
          <w:b/>
          <w:i/>
          <w:sz w:val="22"/>
          <w:szCs w:val="22"/>
        </w:rPr>
        <w:t xml:space="preserve"> a </w:t>
      </w:r>
      <w:r>
        <w:rPr>
          <w:rFonts w:ascii="Tahoma" w:hAnsi="Tahoma" w:cs="Tahoma"/>
          <w:b/>
          <w:i/>
          <w:sz w:val="22"/>
          <w:szCs w:val="22"/>
        </w:rPr>
        <w:t>cinco (5</w:t>
      </w:r>
      <w:r w:rsidRPr="00884455">
        <w:rPr>
          <w:rFonts w:ascii="Tahoma" w:hAnsi="Tahoma" w:cs="Tahoma"/>
          <w:b/>
          <w:i/>
          <w:sz w:val="22"/>
          <w:szCs w:val="22"/>
        </w:rPr>
        <w:t>) años acumulado</w:t>
      </w:r>
      <w:r>
        <w:rPr>
          <w:rFonts w:ascii="Tahoma" w:hAnsi="Tahoma" w:cs="Tahoma"/>
          <w:b/>
          <w:i/>
          <w:sz w:val="22"/>
          <w:szCs w:val="22"/>
        </w:rPr>
        <w:t>s</w:t>
      </w:r>
      <w:r w:rsidRPr="00884455">
        <w:rPr>
          <w:rFonts w:ascii="Tahoma" w:hAnsi="Tahoma" w:cs="Tahoma"/>
          <w:b/>
          <w:i/>
          <w:sz w:val="22"/>
          <w:szCs w:val="22"/>
        </w:rPr>
        <w:t>, estos requisitos deberán ser sustentados mediante copias de los contratos de obra y/o conformidad de servicios y/o certificados y/o constancias, estos dos últimos documentos podrán ser sustituidos por el Acta de recepción</w:t>
      </w:r>
      <w:r>
        <w:rPr>
          <w:rFonts w:ascii="Tahoma" w:hAnsi="Tahoma" w:cs="Tahoma"/>
          <w:b/>
          <w:i/>
          <w:sz w:val="22"/>
          <w:szCs w:val="22"/>
        </w:rPr>
        <w:t xml:space="preserve"> de la obra</w:t>
      </w:r>
      <w:r w:rsidRPr="00884455">
        <w:rPr>
          <w:rFonts w:ascii="Tahoma" w:hAnsi="Tahoma" w:cs="Tahoma"/>
          <w:b/>
          <w:i/>
          <w:sz w:val="22"/>
          <w:szCs w:val="22"/>
        </w:rPr>
        <w:t xml:space="preserve">, siempre y cuando estén suscritos por el Residente de Obra </w:t>
      </w:r>
      <w:r>
        <w:rPr>
          <w:rFonts w:ascii="Tahoma" w:hAnsi="Tahoma" w:cs="Tahoma"/>
          <w:b/>
          <w:i/>
          <w:sz w:val="22"/>
          <w:szCs w:val="22"/>
        </w:rPr>
        <w:t xml:space="preserve"> (No es válida el Acta si no figura el cargo con nombre propio) El valor mínimo de cada obra no deberá ser inferior al 10% del valor referencial de la presente convocatoria.</w:t>
      </w:r>
    </w:p>
    <w:p w:rsidR="00B6275A" w:rsidRDefault="00B6275A" w:rsidP="00B6275A">
      <w:pPr>
        <w:tabs>
          <w:tab w:val="left" w:pos="426"/>
        </w:tabs>
        <w:autoSpaceDE w:val="0"/>
        <w:autoSpaceDN w:val="0"/>
        <w:adjustRightInd w:val="0"/>
        <w:jc w:val="both"/>
        <w:rPr>
          <w:rFonts w:ascii="Tahoma" w:hAnsi="Tahoma" w:cs="Tahoma"/>
          <w:sz w:val="22"/>
          <w:szCs w:val="22"/>
        </w:rPr>
      </w:pPr>
    </w:p>
    <w:p w:rsidR="00B6275A" w:rsidRPr="00A20614" w:rsidRDefault="00B6275A" w:rsidP="00A20614">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A20614">
        <w:rPr>
          <w:rFonts w:ascii="Tahoma" w:hAnsi="Tahoma" w:cs="Tahoma"/>
          <w:b/>
          <w:sz w:val="22"/>
          <w:szCs w:val="22"/>
          <w:u w:val="single"/>
        </w:rPr>
        <w:t>Propuesta Técnica del Impugnante para el Residente de Obra</w:t>
      </w:r>
      <w:r w:rsidRPr="00A20614">
        <w:rPr>
          <w:rFonts w:ascii="Tahoma" w:hAnsi="Tahoma" w:cs="Tahoma"/>
          <w:sz w:val="22"/>
          <w:szCs w:val="22"/>
        </w:rPr>
        <w:t>, en ese aspecto consignó:</w:t>
      </w:r>
    </w:p>
    <w:p w:rsidR="00B6275A" w:rsidRPr="00794292" w:rsidRDefault="00B6275A" w:rsidP="00B6275A">
      <w:pPr>
        <w:tabs>
          <w:tab w:val="left" w:pos="426"/>
        </w:tabs>
        <w:autoSpaceDE w:val="0"/>
        <w:autoSpaceDN w:val="0"/>
        <w:adjustRightInd w:val="0"/>
        <w:jc w:val="both"/>
        <w:rPr>
          <w:rFonts w:ascii="Tahoma" w:hAnsi="Tahoma" w:cs="Tahoma"/>
          <w:sz w:val="22"/>
          <w:szCs w:val="22"/>
        </w:rPr>
      </w:pPr>
    </w:p>
    <w:tbl>
      <w:tblPr>
        <w:tblStyle w:val="Tablaconcuadrcula"/>
        <w:tblW w:w="0" w:type="auto"/>
        <w:tblInd w:w="534" w:type="dxa"/>
        <w:tblLook w:val="04A0"/>
      </w:tblPr>
      <w:tblGrid>
        <w:gridCol w:w="565"/>
        <w:gridCol w:w="5137"/>
        <w:gridCol w:w="1274"/>
        <w:gridCol w:w="1211"/>
      </w:tblGrid>
      <w:tr w:rsidR="00B6275A" w:rsidRPr="00794292" w:rsidTr="005C4B97">
        <w:tc>
          <w:tcPr>
            <w:tcW w:w="567" w:type="dxa"/>
          </w:tcPr>
          <w:p w:rsidR="00B6275A" w:rsidRPr="00794292" w:rsidRDefault="00B6275A" w:rsidP="005C4B97">
            <w:pPr>
              <w:tabs>
                <w:tab w:val="left" w:pos="426"/>
              </w:tabs>
              <w:autoSpaceDE w:val="0"/>
              <w:autoSpaceDN w:val="0"/>
              <w:adjustRightInd w:val="0"/>
              <w:jc w:val="center"/>
              <w:rPr>
                <w:rFonts w:ascii="Tahoma" w:hAnsi="Tahoma" w:cs="Tahoma"/>
                <w:b/>
              </w:rPr>
            </w:pPr>
            <w:r w:rsidRPr="00794292">
              <w:rPr>
                <w:rFonts w:ascii="Tahoma" w:hAnsi="Tahoma" w:cs="Tahoma"/>
                <w:b/>
              </w:rPr>
              <w:t>Nº</w:t>
            </w:r>
          </w:p>
        </w:tc>
        <w:tc>
          <w:tcPr>
            <w:tcW w:w="5244" w:type="dxa"/>
          </w:tcPr>
          <w:p w:rsidR="00B6275A" w:rsidRPr="00794292" w:rsidRDefault="00B6275A" w:rsidP="005C4B97">
            <w:pPr>
              <w:tabs>
                <w:tab w:val="left" w:pos="426"/>
              </w:tabs>
              <w:autoSpaceDE w:val="0"/>
              <w:autoSpaceDN w:val="0"/>
              <w:adjustRightInd w:val="0"/>
              <w:jc w:val="center"/>
              <w:rPr>
                <w:rFonts w:ascii="Tahoma" w:hAnsi="Tahoma" w:cs="Tahoma"/>
                <w:b/>
              </w:rPr>
            </w:pPr>
            <w:r w:rsidRPr="00794292">
              <w:rPr>
                <w:rFonts w:ascii="Tahoma" w:hAnsi="Tahoma" w:cs="Tahoma"/>
                <w:b/>
              </w:rPr>
              <w:t>NOMBRE DE LA OBRA</w:t>
            </w:r>
          </w:p>
        </w:tc>
        <w:tc>
          <w:tcPr>
            <w:tcW w:w="1276" w:type="dxa"/>
          </w:tcPr>
          <w:p w:rsidR="00B6275A" w:rsidRPr="00794292" w:rsidRDefault="00B6275A" w:rsidP="005C4B97">
            <w:pPr>
              <w:tabs>
                <w:tab w:val="left" w:pos="426"/>
              </w:tabs>
              <w:autoSpaceDE w:val="0"/>
              <w:autoSpaceDN w:val="0"/>
              <w:adjustRightInd w:val="0"/>
              <w:jc w:val="center"/>
              <w:rPr>
                <w:rFonts w:ascii="Tahoma" w:hAnsi="Tahoma" w:cs="Tahoma"/>
                <w:b/>
              </w:rPr>
            </w:pPr>
            <w:r w:rsidRPr="00794292">
              <w:rPr>
                <w:rFonts w:ascii="Tahoma" w:hAnsi="Tahoma" w:cs="Tahoma"/>
                <w:b/>
              </w:rPr>
              <w:t>FECHA DE INICIO</w:t>
            </w:r>
          </w:p>
        </w:tc>
        <w:tc>
          <w:tcPr>
            <w:tcW w:w="1099" w:type="dxa"/>
          </w:tcPr>
          <w:p w:rsidR="00B6275A" w:rsidRPr="00794292" w:rsidRDefault="00B6275A" w:rsidP="005C4B97">
            <w:pPr>
              <w:tabs>
                <w:tab w:val="left" w:pos="426"/>
              </w:tabs>
              <w:autoSpaceDE w:val="0"/>
              <w:autoSpaceDN w:val="0"/>
              <w:adjustRightInd w:val="0"/>
              <w:jc w:val="center"/>
              <w:rPr>
                <w:rFonts w:ascii="Tahoma" w:hAnsi="Tahoma" w:cs="Tahoma"/>
                <w:b/>
              </w:rPr>
            </w:pPr>
            <w:r w:rsidRPr="00794292">
              <w:rPr>
                <w:rFonts w:ascii="Tahoma" w:hAnsi="Tahoma" w:cs="Tahoma"/>
                <w:b/>
              </w:rPr>
              <w:t>FECHA DE TERMINO</w:t>
            </w:r>
          </w:p>
        </w:tc>
      </w:tr>
      <w:tr w:rsidR="00B6275A" w:rsidRPr="00794292" w:rsidTr="005C4B97">
        <w:tc>
          <w:tcPr>
            <w:tcW w:w="56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1</w:t>
            </w:r>
          </w:p>
        </w:tc>
        <w:tc>
          <w:tcPr>
            <w:tcW w:w="5244"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I.E. José Carlos Mariátegui</w:t>
            </w:r>
          </w:p>
        </w:tc>
        <w:tc>
          <w:tcPr>
            <w:tcW w:w="1276"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21.06.2006</w:t>
            </w:r>
          </w:p>
        </w:tc>
        <w:tc>
          <w:tcPr>
            <w:tcW w:w="1099"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23.02.2007</w:t>
            </w:r>
          </w:p>
        </w:tc>
      </w:tr>
      <w:tr w:rsidR="00B6275A" w:rsidRPr="00794292" w:rsidTr="005C4B97">
        <w:tc>
          <w:tcPr>
            <w:tcW w:w="56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w:t>
            </w:r>
          </w:p>
        </w:tc>
        <w:tc>
          <w:tcPr>
            <w:tcW w:w="5244"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C.E. 50070-Acos-Cusco</w:t>
            </w:r>
          </w:p>
        </w:tc>
        <w:tc>
          <w:tcPr>
            <w:tcW w:w="1276"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20.03.2002</w:t>
            </w:r>
          </w:p>
        </w:tc>
        <w:tc>
          <w:tcPr>
            <w:tcW w:w="1099"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06.02.2003</w:t>
            </w:r>
          </w:p>
        </w:tc>
      </w:tr>
      <w:tr w:rsidR="00B6275A" w:rsidRPr="00794292" w:rsidTr="005C4B97">
        <w:tc>
          <w:tcPr>
            <w:tcW w:w="56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3</w:t>
            </w:r>
          </w:p>
        </w:tc>
        <w:tc>
          <w:tcPr>
            <w:tcW w:w="5244"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Conjunto Residencial Multifamiliar Costa Castaña</w:t>
            </w:r>
          </w:p>
        </w:tc>
        <w:tc>
          <w:tcPr>
            <w:tcW w:w="1276"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01.01.2009</w:t>
            </w:r>
          </w:p>
        </w:tc>
        <w:tc>
          <w:tcPr>
            <w:tcW w:w="1099"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26.03.2010</w:t>
            </w:r>
          </w:p>
        </w:tc>
      </w:tr>
      <w:tr w:rsidR="00B6275A" w:rsidRPr="00794292" w:rsidTr="005C4B97">
        <w:tc>
          <w:tcPr>
            <w:tcW w:w="56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4</w:t>
            </w:r>
          </w:p>
        </w:tc>
        <w:tc>
          <w:tcPr>
            <w:tcW w:w="5244"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Construcción de 57 Vivienda en el Centro Mantaro</w:t>
            </w:r>
          </w:p>
        </w:tc>
        <w:tc>
          <w:tcPr>
            <w:tcW w:w="1276"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26.02.2007</w:t>
            </w:r>
          </w:p>
        </w:tc>
        <w:tc>
          <w:tcPr>
            <w:tcW w:w="1099"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30.12.2008</w:t>
            </w:r>
          </w:p>
        </w:tc>
      </w:tr>
      <w:tr w:rsidR="00B6275A" w:rsidRPr="00794292" w:rsidTr="005C4B97">
        <w:tc>
          <w:tcPr>
            <w:tcW w:w="56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5</w:t>
            </w:r>
          </w:p>
        </w:tc>
        <w:tc>
          <w:tcPr>
            <w:tcW w:w="5244"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Mejoramiento de los Servicios de Administración de Justicia de Apurímac</w:t>
            </w:r>
          </w:p>
        </w:tc>
        <w:tc>
          <w:tcPr>
            <w:tcW w:w="1276"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210 días calendarios</w:t>
            </w:r>
          </w:p>
        </w:tc>
        <w:tc>
          <w:tcPr>
            <w:tcW w:w="1099" w:type="dxa"/>
          </w:tcPr>
          <w:p w:rsidR="00B6275A" w:rsidRPr="00794292" w:rsidRDefault="00B6275A" w:rsidP="005C4B97">
            <w:pPr>
              <w:tabs>
                <w:tab w:val="left" w:pos="426"/>
              </w:tabs>
              <w:autoSpaceDE w:val="0"/>
              <w:autoSpaceDN w:val="0"/>
              <w:adjustRightInd w:val="0"/>
              <w:jc w:val="both"/>
              <w:rPr>
                <w:rFonts w:ascii="Tahoma" w:hAnsi="Tahoma" w:cs="Tahoma"/>
              </w:rPr>
            </w:pPr>
          </w:p>
        </w:tc>
      </w:tr>
      <w:tr w:rsidR="00B6275A" w:rsidRPr="00794292" w:rsidTr="005C4B97">
        <w:tc>
          <w:tcPr>
            <w:tcW w:w="56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6</w:t>
            </w:r>
          </w:p>
        </w:tc>
        <w:tc>
          <w:tcPr>
            <w:tcW w:w="5244"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Construcción del cuartel de Bomberos-Quillabamba-Cusco</w:t>
            </w:r>
          </w:p>
        </w:tc>
        <w:tc>
          <w:tcPr>
            <w:tcW w:w="1276"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180 días calendarios</w:t>
            </w:r>
          </w:p>
        </w:tc>
        <w:tc>
          <w:tcPr>
            <w:tcW w:w="1099" w:type="dxa"/>
          </w:tcPr>
          <w:p w:rsidR="00B6275A" w:rsidRPr="00794292" w:rsidRDefault="00B6275A" w:rsidP="005C4B97">
            <w:pPr>
              <w:tabs>
                <w:tab w:val="left" w:pos="426"/>
              </w:tabs>
              <w:autoSpaceDE w:val="0"/>
              <w:autoSpaceDN w:val="0"/>
              <w:adjustRightInd w:val="0"/>
              <w:jc w:val="both"/>
              <w:rPr>
                <w:rFonts w:ascii="Tahoma" w:hAnsi="Tahoma" w:cs="Tahoma"/>
              </w:rPr>
            </w:pPr>
          </w:p>
        </w:tc>
      </w:tr>
    </w:tbl>
    <w:p w:rsidR="00B6275A" w:rsidRDefault="00B6275A" w:rsidP="00B6275A">
      <w:pPr>
        <w:jc w:val="both"/>
        <w:rPr>
          <w:rFonts w:ascii="Tahoma" w:hAnsi="Tahoma" w:cs="Tahoma"/>
          <w:sz w:val="22"/>
          <w:szCs w:val="22"/>
        </w:rPr>
      </w:pPr>
    </w:p>
    <w:p w:rsidR="00B6275A" w:rsidRDefault="00B6275A" w:rsidP="00A20614">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A20614">
        <w:rPr>
          <w:rFonts w:ascii="Tahoma" w:hAnsi="Tahoma" w:cs="Tahoma"/>
          <w:b/>
          <w:sz w:val="22"/>
          <w:szCs w:val="22"/>
          <w:u w:val="single"/>
        </w:rPr>
        <w:t>Lo argumentado por el tercero administrado y el respectivo análisis respecto a la experiencia del propuesto Ingeniero Asistente de Obra, el Sr. Jorge Luis Caro Jayo.</w:t>
      </w:r>
    </w:p>
    <w:p w:rsidR="00B6275A" w:rsidRPr="00794292" w:rsidRDefault="00B6275A" w:rsidP="00B6275A">
      <w:pPr>
        <w:pStyle w:val="Prrafodelista"/>
        <w:rPr>
          <w:rFonts w:ascii="Tahoma" w:hAnsi="Tahoma" w:cs="Tahoma"/>
          <w:b/>
          <w:sz w:val="22"/>
          <w:szCs w:val="22"/>
          <w:u w:val="single"/>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I.E. José Carlos Mariátegui</w:t>
      </w: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A20614">
      <w:pPr>
        <w:pStyle w:val="Prrafodelista"/>
        <w:numPr>
          <w:ilvl w:val="2"/>
          <w:numId w:val="38"/>
        </w:numPr>
        <w:autoSpaceDE w:val="0"/>
        <w:autoSpaceDN w:val="0"/>
        <w:adjustRightInd w:val="0"/>
        <w:ind w:left="709" w:hanging="283"/>
        <w:jc w:val="both"/>
        <w:rPr>
          <w:rFonts w:ascii="Tahoma" w:hAnsi="Tahoma" w:cs="Tahoma"/>
          <w:sz w:val="22"/>
          <w:szCs w:val="22"/>
        </w:rPr>
      </w:pPr>
      <w:r w:rsidRPr="00794292">
        <w:rPr>
          <w:rFonts w:ascii="Tahoma" w:hAnsi="Tahoma" w:cs="Tahoma"/>
          <w:sz w:val="22"/>
          <w:szCs w:val="22"/>
        </w:rPr>
        <w:t xml:space="preserve">El impugnante indicó en su propuesta técnica que el ingeniero </w:t>
      </w:r>
      <w:r>
        <w:rPr>
          <w:rFonts w:ascii="Tahoma" w:hAnsi="Tahoma" w:cs="Tahoma"/>
          <w:sz w:val="22"/>
          <w:szCs w:val="22"/>
        </w:rPr>
        <w:t xml:space="preserve">Jorge Luis Caro  Jayo </w:t>
      </w:r>
      <w:r w:rsidRPr="00794292">
        <w:rPr>
          <w:rFonts w:ascii="Tahoma" w:hAnsi="Tahoma" w:cs="Tahoma"/>
          <w:sz w:val="22"/>
          <w:szCs w:val="22"/>
        </w:rPr>
        <w:t xml:space="preserve">trabajó como ingeniero residente de dicha obra del 21/06/2006 al 23/02/2007, adjuntando el correspondiente Certificado, obrante en el folio 034 </w:t>
      </w:r>
      <w:r>
        <w:rPr>
          <w:rFonts w:ascii="Tahoma" w:hAnsi="Tahoma" w:cs="Tahoma"/>
          <w:sz w:val="22"/>
          <w:szCs w:val="22"/>
        </w:rPr>
        <w:t>del expediente</w:t>
      </w:r>
      <w:r w:rsidRPr="00794292">
        <w:rPr>
          <w:rFonts w:ascii="Tahoma" w:hAnsi="Tahoma" w:cs="Tahoma"/>
          <w:sz w:val="22"/>
          <w:szCs w:val="22"/>
        </w:rPr>
        <w:t>, donde se aprecia las fechas señaladas.</w:t>
      </w:r>
    </w:p>
    <w:p w:rsidR="00B6275A" w:rsidRPr="00794292" w:rsidRDefault="00B6275A" w:rsidP="00A20614">
      <w:pPr>
        <w:pStyle w:val="Prrafodelista"/>
        <w:numPr>
          <w:ilvl w:val="2"/>
          <w:numId w:val="38"/>
        </w:numPr>
        <w:tabs>
          <w:tab w:val="left" w:pos="426"/>
        </w:tabs>
        <w:autoSpaceDE w:val="0"/>
        <w:autoSpaceDN w:val="0"/>
        <w:adjustRightInd w:val="0"/>
        <w:ind w:left="709" w:hanging="360"/>
        <w:jc w:val="both"/>
        <w:rPr>
          <w:rFonts w:ascii="Tahoma" w:hAnsi="Tahoma" w:cs="Tahoma"/>
          <w:sz w:val="22"/>
          <w:szCs w:val="22"/>
        </w:rPr>
      </w:pPr>
      <w:r w:rsidRPr="00794292">
        <w:rPr>
          <w:rFonts w:ascii="Tahoma" w:hAnsi="Tahoma" w:cs="Tahoma"/>
          <w:sz w:val="22"/>
          <w:szCs w:val="22"/>
        </w:rPr>
        <w:t xml:space="preserve">El tercero administrado hace referencia al contrato respectivo, adjunto a la propuesta técnica y suscrito con </w:t>
      </w:r>
      <w:r>
        <w:rPr>
          <w:rFonts w:ascii="Tahoma" w:hAnsi="Tahoma" w:cs="Tahoma"/>
          <w:sz w:val="22"/>
          <w:szCs w:val="22"/>
        </w:rPr>
        <w:t>el INFES indicando que en su cláusula dé</w:t>
      </w:r>
      <w:r w:rsidRPr="00794292">
        <w:rPr>
          <w:rFonts w:ascii="Tahoma" w:hAnsi="Tahoma" w:cs="Tahoma"/>
          <w:sz w:val="22"/>
          <w:szCs w:val="22"/>
        </w:rPr>
        <w:t>cimo segunda se estipula que el ingeniero residente fue José Eulogio Cumpa Ángeles, por lo tanto que no existe concordancia con el certificado referido, en consecuencia que resulta ser un documento inexacto.</w:t>
      </w:r>
    </w:p>
    <w:p w:rsidR="00B6275A" w:rsidRPr="00794292" w:rsidRDefault="00B6275A" w:rsidP="00A20614">
      <w:pPr>
        <w:pStyle w:val="Prrafodelista"/>
        <w:numPr>
          <w:ilvl w:val="2"/>
          <w:numId w:val="38"/>
        </w:numPr>
        <w:tabs>
          <w:tab w:val="left" w:pos="426"/>
        </w:tabs>
        <w:autoSpaceDE w:val="0"/>
        <w:autoSpaceDN w:val="0"/>
        <w:adjustRightInd w:val="0"/>
        <w:ind w:left="709" w:hanging="360"/>
        <w:jc w:val="both"/>
        <w:rPr>
          <w:rFonts w:ascii="Tahoma" w:hAnsi="Tahoma" w:cs="Tahoma"/>
          <w:sz w:val="22"/>
          <w:szCs w:val="22"/>
        </w:rPr>
      </w:pPr>
      <w:r w:rsidRPr="00794292">
        <w:rPr>
          <w:rFonts w:ascii="Tahoma" w:hAnsi="Tahoma" w:cs="Tahoma"/>
          <w:sz w:val="22"/>
          <w:szCs w:val="22"/>
        </w:rPr>
        <w:lastRenderedPageBreak/>
        <w:t xml:space="preserve">Al </w:t>
      </w:r>
      <w:r>
        <w:rPr>
          <w:rFonts w:ascii="Tahoma" w:hAnsi="Tahoma" w:cs="Tahoma"/>
          <w:sz w:val="22"/>
          <w:szCs w:val="22"/>
        </w:rPr>
        <w:t>respecto, este Tribunal solicitó</w:t>
      </w:r>
      <w:r w:rsidRPr="00794292">
        <w:rPr>
          <w:rFonts w:ascii="Tahoma" w:hAnsi="Tahoma" w:cs="Tahoma"/>
          <w:sz w:val="22"/>
          <w:szCs w:val="22"/>
        </w:rPr>
        <w:t xml:space="preserve"> información adicional al Instituto Nacional de Infraestructura Educativa y de Salud-INFES a fin de conocer quien fue el ingeniero residente en dicha obra y el periodo trabajado por éste.</w:t>
      </w:r>
    </w:p>
    <w:p w:rsidR="00B6275A" w:rsidRPr="00794292" w:rsidRDefault="00B6275A" w:rsidP="00A20614">
      <w:pPr>
        <w:pStyle w:val="Prrafodelista"/>
        <w:numPr>
          <w:ilvl w:val="2"/>
          <w:numId w:val="38"/>
        </w:numPr>
        <w:tabs>
          <w:tab w:val="left" w:pos="426"/>
        </w:tabs>
        <w:autoSpaceDE w:val="0"/>
        <w:autoSpaceDN w:val="0"/>
        <w:adjustRightInd w:val="0"/>
        <w:ind w:left="709" w:hanging="360"/>
        <w:jc w:val="both"/>
        <w:rPr>
          <w:rFonts w:ascii="Tahoma" w:hAnsi="Tahoma" w:cs="Tahoma"/>
          <w:sz w:val="22"/>
          <w:szCs w:val="22"/>
        </w:rPr>
      </w:pPr>
      <w:r w:rsidRPr="00794292">
        <w:rPr>
          <w:rFonts w:ascii="Tahoma" w:hAnsi="Tahoma" w:cs="Tahoma"/>
          <w:sz w:val="22"/>
          <w:szCs w:val="22"/>
        </w:rPr>
        <w:t>El INFES remitió a este Tribunal el Oficio Nº 2878-2011-ME/VMGI-OINFE, el 31 de marzo de 2011 señalando que en dicha obra tr</w:t>
      </w:r>
      <w:r>
        <w:rPr>
          <w:rFonts w:ascii="Tahoma" w:hAnsi="Tahoma" w:cs="Tahoma"/>
          <w:sz w:val="22"/>
          <w:szCs w:val="22"/>
        </w:rPr>
        <w:t>abajó</w:t>
      </w:r>
      <w:r w:rsidRPr="00794292">
        <w:rPr>
          <w:rFonts w:ascii="Tahoma" w:hAnsi="Tahoma" w:cs="Tahoma"/>
          <w:sz w:val="22"/>
          <w:szCs w:val="22"/>
        </w:rPr>
        <w:t xml:space="preserve"> como ingeniero residente el ingeniero Caro Jayo  desde el 21.06.2006 hasta el 01.30.2007.</w:t>
      </w:r>
    </w:p>
    <w:p w:rsidR="00B6275A" w:rsidRPr="00794292" w:rsidRDefault="00B6275A" w:rsidP="00A20614">
      <w:pPr>
        <w:pStyle w:val="Prrafodelista"/>
        <w:numPr>
          <w:ilvl w:val="2"/>
          <w:numId w:val="38"/>
        </w:numPr>
        <w:tabs>
          <w:tab w:val="left" w:pos="426"/>
        </w:tabs>
        <w:autoSpaceDE w:val="0"/>
        <w:autoSpaceDN w:val="0"/>
        <w:adjustRightInd w:val="0"/>
        <w:ind w:left="709" w:hanging="360"/>
        <w:jc w:val="both"/>
        <w:rPr>
          <w:rFonts w:ascii="Tahoma" w:hAnsi="Tahoma" w:cs="Tahoma"/>
          <w:sz w:val="22"/>
          <w:szCs w:val="22"/>
        </w:rPr>
      </w:pPr>
      <w:r w:rsidRPr="00794292">
        <w:rPr>
          <w:rFonts w:ascii="Tahoma" w:hAnsi="Tahoma" w:cs="Tahoma"/>
          <w:sz w:val="22"/>
          <w:szCs w:val="22"/>
        </w:rPr>
        <w:t>En ese sentido, se aprecia que la comunicación remitida por el INFES guarda relación valedera con la propuesta técnica, por lo tanto, el certificado presentado acredita la experiencia del residente propuesto, es decir, del 21.06.2006 al</w:t>
      </w:r>
      <w:r>
        <w:rPr>
          <w:rFonts w:ascii="Tahoma" w:hAnsi="Tahoma" w:cs="Tahoma"/>
          <w:sz w:val="22"/>
          <w:szCs w:val="22"/>
        </w:rPr>
        <w:t xml:space="preserve"> 23.02.2007, (8 meses y 2 días).</w:t>
      </w:r>
      <w:r w:rsidRPr="00794292">
        <w:rPr>
          <w:rFonts w:ascii="Tahoma" w:hAnsi="Tahoma" w:cs="Tahoma"/>
          <w:sz w:val="22"/>
          <w:szCs w:val="22"/>
        </w:rPr>
        <w:t xml:space="preserve"> </w:t>
      </w:r>
      <w:r>
        <w:rPr>
          <w:rFonts w:ascii="Tahoma" w:hAnsi="Tahoma" w:cs="Tahoma"/>
          <w:sz w:val="22"/>
          <w:szCs w:val="22"/>
        </w:rPr>
        <w:t>En esa medida</w:t>
      </w:r>
      <w:r w:rsidRPr="00794292">
        <w:rPr>
          <w:rFonts w:ascii="Tahoma" w:hAnsi="Tahoma" w:cs="Tahoma"/>
          <w:sz w:val="22"/>
          <w:szCs w:val="22"/>
        </w:rPr>
        <w:t>, no resulta procedente acoger el cuestionamiento del tercero administrado en este extremo.</w:t>
      </w:r>
    </w:p>
    <w:p w:rsidR="00B6275A" w:rsidRPr="00794292" w:rsidRDefault="00B6275A" w:rsidP="00B6275A">
      <w:pPr>
        <w:pStyle w:val="Prrafodelista"/>
        <w:tabs>
          <w:tab w:val="left" w:pos="426"/>
        </w:tabs>
        <w:autoSpaceDE w:val="0"/>
        <w:autoSpaceDN w:val="0"/>
        <w:adjustRightInd w:val="0"/>
        <w:ind w:left="709"/>
        <w:jc w:val="both"/>
        <w:rPr>
          <w:rFonts w:ascii="Tahoma" w:hAnsi="Tahoma" w:cs="Tahoma"/>
          <w:sz w:val="22"/>
          <w:szCs w:val="22"/>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C.E. Nº 50070-Acos-Cusco</w:t>
      </w: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0"/>
          <w:numId w:val="26"/>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El impugnante indicó en su propuesta técnica que el mencionado ingeniero trabajó como ingeniero residente de dicha obra del 20/03/2002 al 06/02/2003, adjuntando el correspondiente Certificado, emitido por RMC Contratistas Generales SAC, obrante en el folio 043 del expediente, donde se aprecia las fechas señaladas.</w:t>
      </w:r>
    </w:p>
    <w:p w:rsidR="00B6275A" w:rsidRPr="00794292" w:rsidRDefault="00B6275A" w:rsidP="00B6275A">
      <w:pPr>
        <w:pStyle w:val="Prrafodelista"/>
        <w:numPr>
          <w:ilvl w:val="0"/>
          <w:numId w:val="26"/>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Asimismo, adjunto al Certificado se encuentra el respectivo contrato suscrito con el INFES el cual establece que el plazo de ejecución de la obra será de 210 días calendarios.</w:t>
      </w:r>
    </w:p>
    <w:p w:rsidR="00B6275A" w:rsidRPr="00794292" w:rsidRDefault="00B6275A" w:rsidP="00B6275A">
      <w:pPr>
        <w:pStyle w:val="Prrafodelista"/>
        <w:numPr>
          <w:ilvl w:val="0"/>
          <w:numId w:val="26"/>
        </w:numPr>
        <w:tabs>
          <w:tab w:val="left" w:pos="426"/>
        </w:tabs>
        <w:autoSpaceDE w:val="0"/>
        <w:autoSpaceDN w:val="0"/>
        <w:adjustRightInd w:val="0"/>
        <w:ind w:left="851"/>
        <w:jc w:val="both"/>
        <w:rPr>
          <w:rFonts w:ascii="Tahoma" w:hAnsi="Tahoma" w:cs="Tahoma"/>
          <w:sz w:val="22"/>
          <w:szCs w:val="22"/>
        </w:rPr>
      </w:pPr>
      <w:r>
        <w:rPr>
          <w:rFonts w:ascii="Tahoma" w:hAnsi="Tahoma" w:cs="Tahoma"/>
          <w:sz w:val="22"/>
          <w:szCs w:val="22"/>
        </w:rPr>
        <w:t xml:space="preserve">En </w:t>
      </w:r>
      <w:r w:rsidRPr="00794292">
        <w:rPr>
          <w:rFonts w:ascii="Tahoma" w:hAnsi="Tahoma" w:cs="Tahoma"/>
          <w:sz w:val="22"/>
          <w:szCs w:val="22"/>
        </w:rPr>
        <w:t>ese sentido, el tercero administrado señala que existe discrepancia entre el contenido del certificado y el contrato puesto que en el primero se acreditaría un periodo trabajado de 316 días, discordante con los 210 días calendarios establecidos en el contrato.</w:t>
      </w:r>
    </w:p>
    <w:p w:rsidR="00B6275A" w:rsidRPr="00794292" w:rsidRDefault="00B6275A" w:rsidP="00B6275A">
      <w:pPr>
        <w:pStyle w:val="Prrafodelista"/>
        <w:numPr>
          <w:ilvl w:val="0"/>
          <w:numId w:val="26"/>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Sobre el particular, cabe mencionar que de la revisión al contrato obrante en el folio 044 del expediente se aprecia que no existe información que se contraponga o sea contrario a lo declarado por el impugnante en su propuesta técnica, tanto en el certificado como en el anexo Nº 8 para el residente de obra, puesto que mediante el contrato se fijan las reglas, condiciones y obligaciones de ambas partes, regulando de manera sustancial y prima facie los actos que de su cumplimiento se deriven, tomando en consideración que durante su ejecución las partes pueden acordar modificaciones, adendas, ampliaciones en el plazo de ejecución, etc</w:t>
      </w:r>
      <w:r>
        <w:rPr>
          <w:rFonts w:ascii="Tahoma" w:hAnsi="Tahoma" w:cs="Tahoma"/>
          <w:sz w:val="22"/>
          <w:szCs w:val="22"/>
        </w:rPr>
        <w:t>.</w:t>
      </w:r>
      <w:r w:rsidRPr="00794292">
        <w:rPr>
          <w:rFonts w:ascii="Tahoma" w:hAnsi="Tahoma" w:cs="Tahoma"/>
          <w:sz w:val="22"/>
          <w:szCs w:val="22"/>
        </w:rPr>
        <w:t>, lo que no es contrario de manera alguna a lo que en el presente caso ha declarado el impugnante en su propuesta técnica, es decir, que reviste la calidad de presunción de veracidad, por lo que se presume la certeza de su contenido, ya que no existe prueba en contrario. En ese sentido, no resulta procedente acoger el cuestionamiento del tercero administrado en este extremo, concluyéndose que el impugnante ha acreditado la experiencia de su ingeniero residente propuesto del 20.03.2002 al 06.02.2003, es decir, 10 meses y 13 días.</w:t>
      </w:r>
    </w:p>
    <w:p w:rsidR="00B6275A" w:rsidRDefault="00B6275A" w:rsidP="00B6275A">
      <w:pPr>
        <w:pStyle w:val="Prrafodelista"/>
        <w:tabs>
          <w:tab w:val="left" w:pos="426"/>
        </w:tabs>
        <w:autoSpaceDE w:val="0"/>
        <w:autoSpaceDN w:val="0"/>
        <w:adjustRightInd w:val="0"/>
        <w:ind w:left="851"/>
        <w:jc w:val="both"/>
        <w:rPr>
          <w:rFonts w:ascii="Tahoma" w:hAnsi="Tahoma" w:cs="Tahoma"/>
          <w:sz w:val="22"/>
          <w:szCs w:val="22"/>
        </w:rPr>
      </w:pPr>
    </w:p>
    <w:p w:rsidR="00B6275A" w:rsidRPr="00794292" w:rsidRDefault="00B6275A" w:rsidP="00B6275A">
      <w:pPr>
        <w:pStyle w:val="Prrafodelista"/>
        <w:tabs>
          <w:tab w:val="left" w:pos="426"/>
        </w:tabs>
        <w:autoSpaceDE w:val="0"/>
        <w:autoSpaceDN w:val="0"/>
        <w:adjustRightInd w:val="0"/>
        <w:ind w:left="851"/>
        <w:jc w:val="both"/>
        <w:rPr>
          <w:rFonts w:ascii="Tahoma" w:hAnsi="Tahoma" w:cs="Tahoma"/>
          <w:sz w:val="22"/>
          <w:szCs w:val="22"/>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lastRenderedPageBreak/>
        <w:t>Conjunto Residencial Multifamiliar Costa Castaña</w:t>
      </w: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0"/>
          <w:numId w:val="27"/>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El impugnante indicó en su propuesta técnica que el mencionado ingeniero trabajó como ingeniero residente de dicha obra del 01/01/2009 al 26/0</w:t>
      </w:r>
      <w:r>
        <w:rPr>
          <w:rFonts w:ascii="Tahoma" w:hAnsi="Tahoma" w:cs="Tahoma"/>
          <w:sz w:val="22"/>
          <w:szCs w:val="22"/>
        </w:rPr>
        <w:t>3</w:t>
      </w:r>
      <w:r w:rsidRPr="00794292">
        <w:rPr>
          <w:rFonts w:ascii="Tahoma" w:hAnsi="Tahoma" w:cs="Tahoma"/>
          <w:sz w:val="22"/>
          <w:szCs w:val="22"/>
        </w:rPr>
        <w:t>/2010, adjuntando el correspondiente Certificado, emitido por Math Construcción y Consultoría SAC, obrante en el folio 047 del expediente, donde se aprecia las fechas señaladas.</w:t>
      </w:r>
    </w:p>
    <w:p w:rsidR="00B6275A" w:rsidRPr="00794292" w:rsidRDefault="00B6275A" w:rsidP="00B6275A">
      <w:pPr>
        <w:pStyle w:val="Prrafodelista"/>
        <w:numPr>
          <w:ilvl w:val="0"/>
          <w:numId w:val="27"/>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Asimismo, adjunto al Certificado se encuentra el respectivo contrato suscrito con Madisa Ingenieros SAC, el cual establece en el Tercero de sus Antecedentes que la construcción del multifamiliar consta de un bloque de cinco niveles, 1 semisótano y 1 azotea.</w:t>
      </w:r>
    </w:p>
    <w:p w:rsidR="00B6275A" w:rsidRPr="00794292" w:rsidRDefault="00B6275A" w:rsidP="00B6275A">
      <w:pPr>
        <w:pStyle w:val="Prrafodelista"/>
        <w:numPr>
          <w:ilvl w:val="0"/>
          <w:numId w:val="27"/>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 xml:space="preserve">El tercero administrado señala que la propuesta técnica no cumple con el </w:t>
      </w:r>
      <w:r>
        <w:rPr>
          <w:rFonts w:ascii="Tahoma" w:hAnsi="Tahoma" w:cs="Tahoma"/>
          <w:sz w:val="22"/>
          <w:szCs w:val="22"/>
        </w:rPr>
        <w:t xml:space="preserve">RTM </w:t>
      </w:r>
      <w:r w:rsidRPr="00794292">
        <w:rPr>
          <w:rFonts w:ascii="Tahoma" w:hAnsi="Tahoma" w:cs="Tahoma"/>
          <w:sz w:val="22"/>
          <w:szCs w:val="22"/>
        </w:rPr>
        <w:t>en cuanto no se consideraría dicha edificación como obra similar al objeto de la convocatoria, teniendo en cuenta que las Bases consideran para las viviendas mult</w:t>
      </w:r>
      <w:r>
        <w:rPr>
          <w:rFonts w:ascii="Tahoma" w:hAnsi="Tahoma" w:cs="Tahoma"/>
          <w:sz w:val="22"/>
          <w:szCs w:val="22"/>
        </w:rPr>
        <w:t>i</w:t>
      </w:r>
      <w:r w:rsidRPr="00794292">
        <w:rPr>
          <w:rFonts w:ascii="Tahoma" w:hAnsi="Tahoma" w:cs="Tahoma"/>
          <w:sz w:val="22"/>
          <w:szCs w:val="22"/>
        </w:rPr>
        <w:t>familiares los construidos a partir de seis pisos.</w:t>
      </w:r>
    </w:p>
    <w:p w:rsidR="00B6275A" w:rsidRPr="00794292" w:rsidRDefault="00B6275A" w:rsidP="00B6275A">
      <w:pPr>
        <w:pStyle w:val="Prrafodelista"/>
        <w:numPr>
          <w:ilvl w:val="0"/>
          <w:numId w:val="27"/>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Al respecto, cabe señalar que el Reglamento Nacional de Edificaciones establece en su Norma G.40 que se considera nivel o piso al espacio habitable limitado por una superficie inferior transitable y una superior que la techa. El último piso no tiene techo.</w:t>
      </w:r>
    </w:p>
    <w:p w:rsidR="00B6275A" w:rsidRPr="00794292" w:rsidRDefault="00B6275A" w:rsidP="00B6275A">
      <w:pPr>
        <w:pStyle w:val="Prrafodelista"/>
        <w:numPr>
          <w:ilvl w:val="0"/>
          <w:numId w:val="27"/>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 xml:space="preserve">En relación a ello, </w:t>
      </w:r>
      <w:r>
        <w:rPr>
          <w:rFonts w:ascii="Tahoma" w:hAnsi="Tahoma" w:cs="Tahoma"/>
          <w:sz w:val="22"/>
          <w:szCs w:val="22"/>
        </w:rPr>
        <w:t xml:space="preserve">tenemos que de la documentación que obra en la </w:t>
      </w:r>
      <w:r w:rsidRPr="00794292">
        <w:rPr>
          <w:rFonts w:ascii="Tahoma" w:hAnsi="Tahoma" w:cs="Tahoma"/>
          <w:sz w:val="22"/>
          <w:szCs w:val="22"/>
        </w:rPr>
        <w:t xml:space="preserve"> propuesta </w:t>
      </w:r>
      <w:r>
        <w:rPr>
          <w:rFonts w:ascii="Tahoma" w:hAnsi="Tahoma" w:cs="Tahoma"/>
          <w:sz w:val="22"/>
          <w:szCs w:val="22"/>
        </w:rPr>
        <w:t xml:space="preserve">técnica se ha constatado que la obra presentada para acreditar la experiencia requerida por el Residente, </w:t>
      </w:r>
      <w:r w:rsidRPr="00794292">
        <w:rPr>
          <w:rFonts w:ascii="Tahoma" w:hAnsi="Tahoma" w:cs="Tahoma"/>
          <w:sz w:val="22"/>
          <w:szCs w:val="22"/>
        </w:rPr>
        <w:t xml:space="preserve">consta de un edifico multifamiliar de 5 pisos, 1 semisótano y 1 azotea, por lo tanto teniendo en cuenta la norma citada, la propuesta </w:t>
      </w:r>
      <w:r>
        <w:rPr>
          <w:rFonts w:ascii="Tahoma" w:hAnsi="Tahoma" w:cs="Tahoma"/>
          <w:sz w:val="22"/>
          <w:szCs w:val="22"/>
        </w:rPr>
        <w:t xml:space="preserve">técnica del Impugnante </w:t>
      </w:r>
      <w:r w:rsidRPr="00794292">
        <w:rPr>
          <w:rFonts w:ascii="Tahoma" w:hAnsi="Tahoma" w:cs="Tahoma"/>
          <w:sz w:val="22"/>
          <w:szCs w:val="22"/>
        </w:rPr>
        <w:t xml:space="preserve">acredita </w:t>
      </w:r>
      <w:r>
        <w:rPr>
          <w:rFonts w:ascii="Tahoma" w:hAnsi="Tahoma" w:cs="Tahoma"/>
          <w:sz w:val="22"/>
          <w:szCs w:val="22"/>
        </w:rPr>
        <w:t xml:space="preserve">el cumplimiento del RTM exigido en las Bases para </w:t>
      </w:r>
      <w:r w:rsidRPr="00794292">
        <w:rPr>
          <w:rFonts w:ascii="Tahoma" w:hAnsi="Tahoma" w:cs="Tahoma"/>
          <w:sz w:val="22"/>
          <w:szCs w:val="22"/>
        </w:rPr>
        <w:t>la experiencia del residente en obras similares, teniendo en cuenta que el semisótano es considerado un nivel o piso m</w:t>
      </w:r>
      <w:r>
        <w:rPr>
          <w:rFonts w:ascii="Tahoma" w:hAnsi="Tahoma" w:cs="Tahoma"/>
          <w:sz w:val="22"/>
          <w:szCs w:val="22"/>
        </w:rPr>
        <w:t>á</w:t>
      </w:r>
      <w:r w:rsidRPr="00794292">
        <w:rPr>
          <w:rFonts w:ascii="Tahoma" w:hAnsi="Tahoma" w:cs="Tahoma"/>
          <w:sz w:val="22"/>
          <w:szCs w:val="22"/>
        </w:rPr>
        <w:t>s (tiene una superficie inferior transitable y una superior que la techa). En consecuencia no resulta amparable lo argumentado por el tercero administrado y se acredita el periodo declarado, es decir, del 01.01.2009 al 26.03.2010 (14 meses y 26 días).</w:t>
      </w:r>
    </w:p>
    <w:p w:rsidR="00B6275A" w:rsidRPr="00794292" w:rsidRDefault="00B6275A" w:rsidP="00B6275A">
      <w:pPr>
        <w:pStyle w:val="Prrafodelista"/>
        <w:tabs>
          <w:tab w:val="left" w:pos="426"/>
        </w:tabs>
        <w:autoSpaceDE w:val="0"/>
        <w:autoSpaceDN w:val="0"/>
        <w:adjustRightInd w:val="0"/>
        <w:ind w:left="851"/>
        <w:jc w:val="both"/>
        <w:rPr>
          <w:rFonts w:ascii="Tahoma" w:hAnsi="Tahoma" w:cs="Tahoma"/>
          <w:sz w:val="22"/>
          <w:szCs w:val="22"/>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Cons</w:t>
      </w:r>
      <w:r>
        <w:rPr>
          <w:rFonts w:ascii="Tahoma" w:hAnsi="Tahoma" w:cs="Tahoma"/>
          <w:b/>
          <w:sz w:val="22"/>
          <w:szCs w:val="22"/>
          <w:u w:val="single"/>
        </w:rPr>
        <w:t>trucción de 57 viviendas en el C</w:t>
      </w:r>
      <w:r w:rsidRPr="00794292">
        <w:rPr>
          <w:rFonts w:ascii="Tahoma" w:hAnsi="Tahoma" w:cs="Tahoma"/>
          <w:b/>
          <w:sz w:val="22"/>
          <w:szCs w:val="22"/>
          <w:u w:val="single"/>
        </w:rPr>
        <w:t>entro de Producción Mantaro</w:t>
      </w: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794292" w:rsidRDefault="00B6275A" w:rsidP="00B6275A">
      <w:pPr>
        <w:pStyle w:val="Prrafodelista"/>
        <w:numPr>
          <w:ilvl w:val="0"/>
          <w:numId w:val="28"/>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 xml:space="preserve">El impugnante indicó en su propuesta técnica que el ingeniero </w:t>
      </w:r>
      <w:r>
        <w:rPr>
          <w:rFonts w:ascii="Tahoma" w:hAnsi="Tahoma" w:cs="Tahoma"/>
          <w:sz w:val="22"/>
          <w:szCs w:val="22"/>
        </w:rPr>
        <w:t>Caro Jayo fue contratado como</w:t>
      </w:r>
      <w:r w:rsidRPr="00794292">
        <w:rPr>
          <w:rFonts w:ascii="Tahoma" w:hAnsi="Tahoma" w:cs="Tahoma"/>
          <w:sz w:val="22"/>
          <w:szCs w:val="22"/>
        </w:rPr>
        <w:t xml:space="preserve"> ingeniero residente </w:t>
      </w:r>
      <w:r>
        <w:rPr>
          <w:rFonts w:ascii="Tahoma" w:hAnsi="Tahoma" w:cs="Tahoma"/>
          <w:sz w:val="22"/>
          <w:szCs w:val="22"/>
        </w:rPr>
        <w:t>para</w:t>
      </w:r>
      <w:r w:rsidRPr="00794292">
        <w:rPr>
          <w:rFonts w:ascii="Tahoma" w:hAnsi="Tahoma" w:cs="Tahoma"/>
          <w:sz w:val="22"/>
          <w:szCs w:val="22"/>
        </w:rPr>
        <w:t xml:space="preserve"> dicha obra del 26/02/2007 al 30/12/2008, adjuntando el correspondiente Certificado emitido por el Consorcio Cajabamba,</w:t>
      </w:r>
      <w:r>
        <w:rPr>
          <w:rFonts w:ascii="Tahoma" w:hAnsi="Tahoma" w:cs="Tahoma"/>
          <w:sz w:val="22"/>
          <w:szCs w:val="22"/>
        </w:rPr>
        <w:t xml:space="preserve"> el contratante, el mismo que </w:t>
      </w:r>
      <w:r w:rsidRPr="00794292">
        <w:rPr>
          <w:rFonts w:ascii="Tahoma" w:hAnsi="Tahoma" w:cs="Tahoma"/>
          <w:sz w:val="22"/>
          <w:szCs w:val="22"/>
        </w:rPr>
        <w:t>obra</w:t>
      </w:r>
      <w:r>
        <w:rPr>
          <w:rFonts w:ascii="Tahoma" w:hAnsi="Tahoma" w:cs="Tahoma"/>
          <w:sz w:val="22"/>
          <w:szCs w:val="22"/>
        </w:rPr>
        <w:t xml:space="preserve"> a</w:t>
      </w:r>
      <w:r w:rsidRPr="00794292">
        <w:rPr>
          <w:rFonts w:ascii="Tahoma" w:hAnsi="Tahoma" w:cs="Tahoma"/>
          <w:sz w:val="22"/>
          <w:szCs w:val="22"/>
        </w:rPr>
        <w:t xml:space="preserve"> folio</w:t>
      </w:r>
      <w:r>
        <w:rPr>
          <w:rFonts w:ascii="Tahoma" w:hAnsi="Tahoma" w:cs="Tahoma"/>
          <w:sz w:val="22"/>
          <w:szCs w:val="22"/>
        </w:rPr>
        <w:t>s 058 del expediente</w:t>
      </w:r>
      <w:r w:rsidRPr="00794292">
        <w:rPr>
          <w:rFonts w:ascii="Tahoma" w:hAnsi="Tahoma" w:cs="Tahoma"/>
          <w:sz w:val="22"/>
          <w:szCs w:val="22"/>
        </w:rPr>
        <w:t>.</w:t>
      </w:r>
    </w:p>
    <w:p w:rsidR="00B6275A" w:rsidRPr="00EE56E6" w:rsidRDefault="00B6275A" w:rsidP="00B6275A">
      <w:pPr>
        <w:pStyle w:val="Prrafodelista"/>
        <w:numPr>
          <w:ilvl w:val="0"/>
          <w:numId w:val="28"/>
        </w:numPr>
        <w:tabs>
          <w:tab w:val="left" w:pos="426"/>
        </w:tabs>
        <w:autoSpaceDE w:val="0"/>
        <w:autoSpaceDN w:val="0"/>
        <w:adjustRightInd w:val="0"/>
        <w:ind w:left="851"/>
        <w:jc w:val="both"/>
        <w:rPr>
          <w:rFonts w:ascii="Tahoma" w:hAnsi="Tahoma" w:cs="Tahoma"/>
          <w:sz w:val="22"/>
          <w:szCs w:val="22"/>
        </w:rPr>
      </w:pPr>
      <w:r>
        <w:rPr>
          <w:rFonts w:ascii="Tahoma" w:hAnsi="Tahoma" w:cs="Tahoma"/>
          <w:sz w:val="22"/>
          <w:szCs w:val="22"/>
        </w:rPr>
        <w:t>A</w:t>
      </w:r>
      <w:r w:rsidRPr="00897F89">
        <w:rPr>
          <w:rFonts w:ascii="Tahoma" w:hAnsi="Tahoma" w:cs="Tahoma"/>
          <w:sz w:val="22"/>
          <w:szCs w:val="22"/>
        </w:rPr>
        <w:t xml:space="preserve">djunto al Certificado </w:t>
      </w:r>
      <w:r>
        <w:rPr>
          <w:rFonts w:ascii="Tahoma" w:hAnsi="Tahoma" w:cs="Tahoma"/>
          <w:sz w:val="22"/>
          <w:szCs w:val="22"/>
        </w:rPr>
        <w:t xml:space="preserve">presentado </w:t>
      </w:r>
      <w:r w:rsidRPr="00897F89">
        <w:rPr>
          <w:rFonts w:ascii="Tahoma" w:hAnsi="Tahoma" w:cs="Tahoma"/>
          <w:sz w:val="22"/>
          <w:szCs w:val="22"/>
        </w:rPr>
        <w:t>se encuentra el contrato suscrito con Electroperu S.A. para la ejecución de dicha obra</w:t>
      </w:r>
      <w:r>
        <w:rPr>
          <w:rFonts w:ascii="Tahoma" w:hAnsi="Tahoma" w:cs="Tahoma"/>
          <w:sz w:val="22"/>
          <w:szCs w:val="22"/>
        </w:rPr>
        <w:t xml:space="preserve">, el cual se suscribió el </w:t>
      </w:r>
      <w:r w:rsidRPr="00EE56E6">
        <w:rPr>
          <w:rFonts w:ascii="Tahoma" w:hAnsi="Tahoma" w:cs="Tahoma"/>
          <w:sz w:val="22"/>
          <w:szCs w:val="22"/>
        </w:rPr>
        <w:t>03/01/2007.</w:t>
      </w:r>
    </w:p>
    <w:p w:rsidR="00B6275A" w:rsidRPr="00897F89" w:rsidRDefault="00B6275A" w:rsidP="00B6275A">
      <w:pPr>
        <w:pStyle w:val="Prrafodelista"/>
        <w:numPr>
          <w:ilvl w:val="0"/>
          <w:numId w:val="28"/>
        </w:numPr>
        <w:tabs>
          <w:tab w:val="left" w:pos="426"/>
        </w:tabs>
        <w:autoSpaceDE w:val="0"/>
        <w:autoSpaceDN w:val="0"/>
        <w:adjustRightInd w:val="0"/>
        <w:ind w:left="851"/>
        <w:jc w:val="both"/>
        <w:rPr>
          <w:rFonts w:ascii="Tahoma" w:hAnsi="Tahoma" w:cs="Tahoma"/>
          <w:sz w:val="22"/>
          <w:szCs w:val="22"/>
        </w:rPr>
      </w:pPr>
      <w:r>
        <w:rPr>
          <w:rFonts w:ascii="Tahoma" w:hAnsi="Tahoma" w:cs="Tahoma"/>
          <w:sz w:val="22"/>
          <w:szCs w:val="22"/>
        </w:rPr>
        <w:t>Por su parte, e</w:t>
      </w:r>
      <w:r w:rsidRPr="00897F89">
        <w:rPr>
          <w:rFonts w:ascii="Tahoma" w:hAnsi="Tahoma" w:cs="Tahoma"/>
          <w:sz w:val="22"/>
          <w:szCs w:val="22"/>
        </w:rPr>
        <w:t xml:space="preserve">l tercero administrado  solicita la descalificación del Impugnante señalando en sus escritos que la Propuesta </w:t>
      </w:r>
      <w:r>
        <w:rPr>
          <w:rFonts w:ascii="Tahoma" w:hAnsi="Tahoma" w:cs="Tahoma"/>
          <w:sz w:val="22"/>
          <w:szCs w:val="22"/>
        </w:rPr>
        <w:t>T</w:t>
      </w:r>
      <w:r w:rsidRPr="00897F89">
        <w:rPr>
          <w:rFonts w:ascii="Tahoma" w:hAnsi="Tahoma" w:cs="Tahoma"/>
          <w:sz w:val="22"/>
          <w:szCs w:val="22"/>
        </w:rPr>
        <w:t xml:space="preserve">écnica </w:t>
      </w:r>
      <w:r>
        <w:rPr>
          <w:rFonts w:ascii="Tahoma" w:hAnsi="Tahoma" w:cs="Tahoma"/>
          <w:sz w:val="22"/>
          <w:szCs w:val="22"/>
        </w:rPr>
        <w:t xml:space="preserve">de éste, contiene información </w:t>
      </w:r>
      <w:r w:rsidRPr="00897F89">
        <w:rPr>
          <w:rFonts w:ascii="Tahoma" w:hAnsi="Tahoma" w:cs="Tahoma"/>
          <w:sz w:val="22"/>
          <w:szCs w:val="22"/>
        </w:rPr>
        <w:t>falsa y/o inexacta</w:t>
      </w:r>
      <w:r>
        <w:rPr>
          <w:rFonts w:ascii="Tahoma" w:hAnsi="Tahoma" w:cs="Tahoma"/>
          <w:sz w:val="22"/>
          <w:szCs w:val="22"/>
        </w:rPr>
        <w:t xml:space="preserve"> respecto del periodo trabajado por el residente</w:t>
      </w:r>
      <w:r w:rsidRPr="00897F89">
        <w:rPr>
          <w:rFonts w:ascii="Tahoma" w:hAnsi="Tahoma" w:cs="Tahoma"/>
          <w:sz w:val="22"/>
          <w:szCs w:val="22"/>
        </w:rPr>
        <w:t xml:space="preserve">, </w:t>
      </w:r>
      <w:r>
        <w:rPr>
          <w:rFonts w:ascii="Tahoma" w:hAnsi="Tahoma" w:cs="Tahoma"/>
          <w:sz w:val="22"/>
          <w:szCs w:val="22"/>
        </w:rPr>
        <w:t xml:space="preserve">adjuntando como medio de prueba de su afirmación la </w:t>
      </w:r>
      <w:r w:rsidRPr="00897F89">
        <w:rPr>
          <w:rFonts w:ascii="Tahoma" w:hAnsi="Tahoma" w:cs="Tahoma"/>
          <w:sz w:val="22"/>
          <w:szCs w:val="22"/>
        </w:rPr>
        <w:t>carta</w:t>
      </w:r>
      <w:r>
        <w:rPr>
          <w:rFonts w:ascii="Tahoma" w:hAnsi="Tahoma" w:cs="Tahoma"/>
          <w:sz w:val="22"/>
          <w:szCs w:val="22"/>
        </w:rPr>
        <w:t xml:space="preserve"> </w:t>
      </w:r>
      <w:r w:rsidRPr="00897F89">
        <w:rPr>
          <w:rFonts w:ascii="Tahoma" w:hAnsi="Tahoma" w:cs="Tahoma"/>
          <w:sz w:val="22"/>
          <w:szCs w:val="22"/>
        </w:rPr>
        <w:t xml:space="preserve">Nº R-0248-2011 </w:t>
      </w:r>
      <w:r>
        <w:rPr>
          <w:rFonts w:ascii="Tahoma" w:hAnsi="Tahoma" w:cs="Tahoma"/>
          <w:sz w:val="22"/>
          <w:szCs w:val="22"/>
        </w:rPr>
        <w:lastRenderedPageBreak/>
        <w:t xml:space="preserve">suscrita por el Sub gerente de Proyectos </w:t>
      </w:r>
      <w:r w:rsidRPr="00897F89">
        <w:rPr>
          <w:rFonts w:ascii="Tahoma" w:hAnsi="Tahoma" w:cs="Tahoma"/>
          <w:sz w:val="22"/>
          <w:szCs w:val="22"/>
        </w:rPr>
        <w:t>de Electroperu,</w:t>
      </w:r>
      <w:r>
        <w:rPr>
          <w:rFonts w:ascii="Tahoma" w:hAnsi="Tahoma" w:cs="Tahoma"/>
          <w:sz w:val="22"/>
          <w:szCs w:val="22"/>
        </w:rPr>
        <w:t xml:space="preserve"> en la que señala </w:t>
      </w:r>
      <w:r w:rsidRPr="00897F89">
        <w:rPr>
          <w:rFonts w:ascii="Tahoma" w:hAnsi="Tahoma" w:cs="Tahoma"/>
          <w:sz w:val="22"/>
          <w:szCs w:val="22"/>
        </w:rPr>
        <w:t>que el ingeniero</w:t>
      </w:r>
      <w:r>
        <w:rPr>
          <w:rFonts w:ascii="Tahoma" w:hAnsi="Tahoma" w:cs="Tahoma"/>
          <w:sz w:val="22"/>
          <w:szCs w:val="22"/>
        </w:rPr>
        <w:t xml:space="preserve"> Caro Jayo</w:t>
      </w:r>
      <w:r w:rsidRPr="00897F89">
        <w:rPr>
          <w:rFonts w:ascii="Tahoma" w:hAnsi="Tahoma" w:cs="Tahoma"/>
          <w:sz w:val="22"/>
          <w:szCs w:val="22"/>
        </w:rPr>
        <w:t xml:space="preserve"> trabajó desde el 22.06.2007 hasta el 02.0</w:t>
      </w:r>
      <w:r>
        <w:rPr>
          <w:rFonts w:ascii="Tahoma" w:hAnsi="Tahoma" w:cs="Tahoma"/>
          <w:sz w:val="22"/>
          <w:szCs w:val="22"/>
        </w:rPr>
        <w:t>3</w:t>
      </w:r>
      <w:r w:rsidRPr="00897F89">
        <w:rPr>
          <w:rFonts w:ascii="Tahoma" w:hAnsi="Tahoma" w:cs="Tahoma"/>
          <w:sz w:val="22"/>
          <w:szCs w:val="22"/>
        </w:rPr>
        <w:t xml:space="preserve">.2009, </w:t>
      </w:r>
      <w:r>
        <w:rPr>
          <w:rFonts w:ascii="Tahoma" w:hAnsi="Tahoma" w:cs="Tahoma"/>
          <w:sz w:val="22"/>
          <w:szCs w:val="22"/>
        </w:rPr>
        <w:t>fecha de recepción de la obra</w:t>
      </w:r>
      <w:r w:rsidRPr="00897F89">
        <w:rPr>
          <w:rFonts w:ascii="Tahoma" w:hAnsi="Tahoma" w:cs="Tahoma"/>
          <w:sz w:val="22"/>
          <w:szCs w:val="22"/>
        </w:rPr>
        <w:t>.</w:t>
      </w:r>
    </w:p>
    <w:p w:rsidR="00B6275A" w:rsidRDefault="00B6275A" w:rsidP="00B6275A">
      <w:pPr>
        <w:pStyle w:val="Prrafodelista"/>
        <w:autoSpaceDE w:val="0"/>
        <w:autoSpaceDN w:val="0"/>
        <w:adjustRightInd w:val="0"/>
        <w:ind w:left="851"/>
        <w:jc w:val="both"/>
        <w:rPr>
          <w:rFonts w:ascii="Tahoma" w:hAnsi="Tahoma" w:cs="Tahoma"/>
          <w:sz w:val="22"/>
          <w:szCs w:val="22"/>
        </w:rPr>
      </w:pPr>
    </w:p>
    <w:p w:rsidR="00B6275A" w:rsidRPr="00794292" w:rsidRDefault="00B6275A" w:rsidP="00B6275A">
      <w:pPr>
        <w:pStyle w:val="Prrafodelista"/>
        <w:autoSpaceDE w:val="0"/>
        <w:autoSpaceDN w:val="0"/>
        <w:adjustRightInd w:val="0"/>
        <w:ind w:left="851"/>
        <w:jc w:val="both"/>
        <w:rPr>
          <w:rFonts w:ascii="Tahoma" w:eastAsia="Calibri" w:hAnsi="Tahoma" w:cs="Tahoma"/>
          <w:b/>
          <w:bCs/>
          <w:color w:val="000000"/>
          <w:sz w:val="22"/>
          <w:szCs w:val="22"/>
          <w:u w:val="single"/>
          <w:lang w:eastAsia="en-US"/>
        </w:rPr>
      </w:pPr>
      <w:r w:rsidRPr="00794292">
        <w:rPr>
          <w:rFonts w:ascii="Tahoma" w:hAnsi="Tahoma" w:cs="Tahoma"/>
          <w:sz w:val="22"/>
          <w:szCs w:val="22"/>
        </w:rPr>
        <w:t xml:space="preserve">Sobre el particular, este Tribunal </w:t>
      </w:r>
      <w:r>
        <w:rPr>
          <w:rFonts w:ascii="Tahoma" w:hAnsi="Tahoma" w:cs="Tahoma"/>
          <w:sz w:val="22"/>
          <w:szCs w:val="22"/>
        </w:rPr>
        <w:t xml:space="preserve">para mejor resolver, </w:t>
      </w:r>
      <w:r w:rsidRPr="00794292">
        <w:rPr>
          <w:rFonts w:ascii="Tahoma" w:hAnsi="Tahoma" w:cs="Tahoma"/>
          <w:sz w:val="22"/>
          <w:szCs w:val="22"/>
        </w:rPr>
        <w:t xml:space="preserve">solicitó información </w:t>
      </w:r>
      <w:r>
        <w:rPr>
          <w:rFonts w:ascii="Tahoma" w:hAnsi="Tahoma" w:cs="Tahoma"/>
          <w:sz w:val="22"/>
          <w:szCs w:val="22"/>
        </w:rPr>
        <w:t xml:space="preserve">adicional </w:t>
      </w:r>
      <w:r w:rsidRPr="00794292">
        <w:rPr>
          <w:rFonts w:ascii="Tahoma" w:hAnsi="Tahoma" w:cs="Tahoma"/>
          <w:sz w:val="22"/>
          <w:szCs w:val="22"/>
        </w:rPr>
        <w:t xml:space="preserve">a Electroperu </w:t>
      </w:r>
      <w:r>
        <w:rPr>
          <w:rFonts w:ascii="Tahoma" w:hAnsi="Tahoma" w:cs="Tahoma"/>
          <w:sz w:val="22"/>
          <w:szCs w:val="22"/>
        </w:rPr>
        <w:t>según el siguiente detalle</w:t>
      </w:r>
      <w:r w:rsidRPr="00794292">
        <w:rPr>
          <w:rFonts w:ascii="Tahoma" w:hAnsi="Tahoma" w:cs="Tahoma"/>
          <w:sz w:val="22"/>
          <w:szCs w:val="22"/>
        </w:rPr>
        <w:t>:</w:t>
      </w:r>
      <w:r w:rsidRPr="00794292">
        <w:rPr>
          <w:rFonts w:ascii="Tahoma" w:eastAsia="Calibri" w:hAnsi="Tahoma" w:cs="Tahoma"/>
          <w:b/>
          <w:bCs/>
          <w:color w:val="000000"/>
          <w:sz w:val="22"/>
          <w:szCs w:val="22"/>
          <w:u w:val="single"/>
          <w:lang w:eastAsia="en-US"/>
        </w:rPr>
        <w:t xml:space="preserve"> A ELECTROPERU SA :</w:t>
      </w:r>
    </w:p>
    <w:p w:rsidR="00B6275A" w:rsidRPr="00794292" w:rsidRDefault="00B6275A" w:rsidP="00B6275A">
      <w:pPr>
        <w:pStyle w:val="Prrafodelista"/>
        <w:autoSpaceDE w:val="0"/>
        <w:autoSpaceDN w:val="0"/>
        <w:adjustRightInd w:val="0"/>
        <w:ind w:left="0"/>
        <w:jc w:val="both"/>
        <w:rPr>
          <w:rFonts w:ascii="Tahoma" w:eastAsia="Calibri" w:hAnsi="Tahoma" w:cs="Tahoma"/>
          <w:b/>
          <w:bCs/>
          <w:color w:val="000000"/>
          <w:sz w:val="22"/>
          <w:szCs w:val="22"/>
          <w:u w:val="single"/>
          <w:lang w:eastAsia="en-US"/>
        </w:rPr>
      </w:pPr>
    </w:p>
    <w:p w:rsidR="00B6275A" w:rsidRPr="00DF3C8A" w:rsidRDefault="00B6275A" w:rsidP="00A20614">
      <w:pPr>
        <w:pStyle w:val="Prrafodelista"/>
        <w:numPr>
          <w:ilvl w:val="3"/>
          <w:numId w:val="39"/>
        </w:numPr>
        <w:autoSpaceDE w:val="0"/>
        <w:autoSpaceDN w:val="0"/>
        <w:adjustRightInd w:val="0"/>
        <w:ind w:left="1985" w:hanging="851"/>
        <w:contextualSpacing/>
        <w:jc w:val="both"/>
        <w:rPr>
          <w:rFonts w:ascii="Tahoma" w:hAnsi="Tahoma" w:cs="Tahoma"/>
          <w:i/>
          <w:sz w:val="22"/>
          <w:szCs w:val="22"/>
          <w:lang w:val="es-PE"/>
        </w:rPr>
      </w:pPr>
      <w:r w:rsidRPr="00DF3C8A">
        <w:rPr>
          <w:rFonts w:ascii="Tahoma" w:hAnsi="Tahoma" w:cs="Tahoma"/>
          <w:i/>
          <w:sz w:val="22"/>
          <w:szCs w:val="22"/>
        </w:rPr>
        <w:t>Adjunto se le remite copia del Contrato “Construcción del 57 viviendas en el centro de producción Mantaro”. Sírvase remitir el Acta de recepción de la citada obra.</w:t>
      </w:r>
    </w:p>
    <w:p w:rsidR="00B6275A" w:rsidRPr="00DF3C8A" w:rsidRDefault="00B6275A" w:rsidP="00A20614">
      <w:pPr>
        <w:pStyle w:val="Prrafodelista"/>
        <w:numPr>
          <w:ilvl w:val="3"/>
          <w:numId w:val="39"/>
        </w:numPr>
        <w:autoSpaceDE w:val="0"/>
        <w:autoSpaceDN w:val="0"/>
        <w:adjustRightInd w:val="0"/>
        <w:ind w:left="1985" w:hanging="851"/>
        <w:contextualSpacing/>
        <w:jc w:val="both"/>
        <w:rPr>
          <w:rFonts w:ascii="Tahoma" w:hAnsi="Tahoma" w:cs="Tahoma"/>
          <w:i/>
          <w:sz w:val="22"/>
          <w:szCs w:val="22"/>
          <w:lang w:val="es-PE"/>
        </w:rPr>
      </w:pPr>
      <w:r w:rsidRPr="00DF3C8A">
        <w:rPr>
          <w:rFonts w:ascii="Tahoma" w:hAnsi="Tahoma" w:cs="Tahoma"/>
          <w:i/>
          <w:sz w:val="22"/>
          <w:szCs w:val="22"/>
        </w:rPr>
        <w:t>Sírvase indicar la fecha de inicio y culminación de la Obra indicada</w:t>
      </w:r>
      <w:r w:rsidRPr="00DF3C8A">
        <w:rPr>
          <w:rFonts w:ascii="Tahoma" w:hAnsi="Tahoma" w:cs="Tahoma"/>
          <w:i/>
          <w:sz w:val="22"/>
          <w:szCs w:val="22"/>
          <w:lang w:val="es-PE"/>
        </w:rPr>
        <w:t xml:space="preserve"> (desde la ejecución inicial hasta la recepción definitiva y liquidación de la obra)</w:t>
      </w:r>
    </w:p>
    <w:p w:rsidR="00B6275A" w:rsidRPr="00DF3C8A" w:rsidRDefault="00B6275A" w:rsidP="00A20614">
      <w:pPr>
        <w:pStyle w:val="Prrafodelista"/>
        <w:numPr>
          <w:ilvl w:val="3"/>
          <w:numId w:val="39"/>
        </w:numPr>
        <w:autoSpaceDE w:val="0"/>
        <w:autoSpaceDN w:val="0"/>
        <w:adjustRightInd w:val="0"/>
        <w:ind w:left="1985" w:hanging="851"/>
        <w:contextualSpacing/>
        <w:jc w:val="both"/>
        <w:rPr>
          <w:rFonts w:ascii="Tahoma" w:hAnsi="Tahoma" w:cs="Tahoma"/>
          <w:i/>
          <w:sz w:val="22"/>
          <w:szCs w:val="22"/>
          <w:lang w:val="es-PE"/>
        </w:rPr>
      </w:pPr>
      <w:r w:rsidRPr="00DF3C8A">
        <w:rPr>
          <w:rFonts w:ascii="Tahoma" w:hAnsi="Tahoma" w:cs="Tahoma"/>
          <w:i/>
          <w:sz w:val="22"/>
          <w:szCs w:val="22"/>
          <w:lang w:val="es-PE"/>
        </w:rPr>
        <w:t>Sírvase indicar quien fue el residente de obra y a partir de cuándo inicio sus labores como tal.</w:t>
      </w:r>
    </w:p>
    <w:p w:rsidR="00B6275A" w:rsidRPr="00794292" w:rsidRDefault="00B6275A" w:rsidP="00B6275A">
      <w:pPr>
        <w:pStyle w:val="Prrafodelista"/>
        <w:autoSpaceDE w:val="0"/>
        <w:autoSpaceDN w:val="0"/>
        <w:adjustRightInd w:val="0"/>
        <w:ind w:left="1418"/>
        <w:contextualSpacing/>
        <w:jc w:val="both"/>
        <w:rPr>
          <w:rFonts w:ascii="Tahoma" w:hAnsi="Tahoma" w:cs="Tahoma"/>
          <w:sz w:val="22"/>
          <w:szCs w:val="22"/>
          <w:lang w:val="es-PE"/>
        </w:rPr>
      </w:pPr>
    </w:p>
    <w:p w:rsidR="00B6275A" w:rsidRDefault="00B6275A" w:rsidP="00B6275A">
      <w:pPr>
        <w:pStyle w:val="Prrafodelista"/>
        <w:numPr>
          <w:ilvl w:val="0"/>
          <w:numId w:val="28"/>
        </w:numPr>
        <w:autoSpaceDE w:val="0"/>
        <w:autoSpaceDN w:val="0"/>
        <w:adjustRightInd w:val="0"/>
        <w:ind w:left="851"/>
        <w:contextualSpacing/>
        <w:jc w:val="both"/>
        <w:rPr>
          <w:rFonts w:ascii="Tahoma" w:hAnsi="Tahoma" w:cs="Tahoma"/>
          <w:sz w:val="22"/>
          <w:szCs w:val="22"/>
          <w:lang w:val="es-PE"/>
        </w:rPr>
      </w:pPr>
      <w:r w:rsidRPr="00794292">
        <w:rPr>
          <w:rFonts w:ascii="Tahoma" w:hAnsi="Tahoma" w:cs="Tahoma"/>
          <w:sz w:val="22"/>
          <w:szCs w:val="22"/>
          <w:lang w:val="es-PE"/>
        </w:rPr>
        <w:t xml:space="preserve">Electroperu </w:t>
      </w:r>
      <w:r>
        <w:rPr>
          <w:rFonts w:ascii="Tahoma" w:hAnsi="Tahoma" w:cs="Tahoma"/>
          <w:sz w:val="22"/>
          <w:szCs w:val="22"/>
          <w:lang w:val="es-PE"/>
        </w:rPr>
        <w:t xml:space="preserve">en atención al requerimiento efectuado, </w:t>
      </w:r>
      <w:r w:rsidRPr="00794292">
        <w:rPr>
          <w:rFonts w:ascii="Tahoma" w:hAnsi="Tahoma" w:cs="Tahoma"/>
          <w:sz w:val="22"/>
          <w:szCs w:val="22"/>
          <w:lang w:val="es-PE"/>
        </w:rPr>
        <w:t>remitió el 30 de mayo de 2011</w:t>
      </w:r>
      <w:r>
        <w:rPr>
          <w:rFonts w:ascii="Tahoma" w:hAnsi="Tahoma" w:cs="Tahoma"/>
          <w:sz w:val="22"/>
          <w:szCs w:val="22"/>
          <w:lang w:val="es-PE"/>
        </w:rPr>
        <w:t xml:space="preserve"> </w:t>
      </w:r>
      <w:r w:rsidRPr="00794292">
        <w:rPr>
          <w:rFonts w:ascii="Tahoma" w:hAnsi="Tahoma" w:cs="Tahoma"/>
          <w:sz w:val="22"/>
          <w:szCs w:val="22"/>
          <w:lang w:val="es-PE"/>
        </w:rPr>
        <w:t xml:space="preserve">la Carta G-474-2011 </w:t>
      </w:r>
      <w:r>
        <w:rPr>
          <w:rFonts w:ascii="Tahoma" w:hAnsi="Tahoma" w:cs="Tahoma"/>
          <w:sz w:val="22"/>
          <w:szCs w:val="22"/>
          <w:lang w:val="es-PE"/>
        </w:rPr>
        <w:t>mediante la cual informa que  el Ingeniero Caro Jayo fue el residente de obra</w:t>
      </w:r>
      <w:r w:rsidRPr="00794292">
        <w:rPr>
          <w:rFonts w:ascii="Tahoma" w:hAnsi="Tahoma" w:cs="Tahoma"/>
          <w:sz w:val="22"/>
          <w:szCs w:val="22"/>
          <w:lang w:val="es-PE"/>
        </w:rPr>
        <w:t xml:space="preserve"> desde el 22.06.2007 hasta la recepción total de la obra, es decir, hasta el 02.03.2009.</w:t>
      </w:r>
      <w:r>
        <w:rPr>
          <w:rFonts w:ascii="Tahoma" w:hAnsi="Tahoma" w:cs="Tahoma"/>
          <w:sz w:val="22"/>
          <w:szCs w:val="22"/>
          <w:lang w:val="es-PE"/>
        </w:rPr>
        <w:t xml:space="preserve"> Adjuntando, además copia de las Actas de Recepción Parcial y Final de la obra, suscritas por el citado ingeniero en calidad de residente, documentos de los cuales se advierte además que la obra tuvo una duración mayor a la establecida en el contrato por ampliaciones de plazo aprobadas por la Entidad y por Laudo Arbitral.</w:t>
      </w:r>
    </w:p>
    <w:p w:rsidR="00B6275A" w:rsidRPr="00794292" w:rsidRDefault="00B6275A" w:rsidP="00B6275A">
      <w:pPr>
        <w:pStyle w:val="Prrafodelista"/>
        <w:autoSpaceDE w:val="0"/>
        <w:autoSpaceDN w:val="0"/>
        <w:adjustRightInd w:val="0"/>
        <w:ind w:left="851"/>
        <w:contextualSpacing/>
        <w:jc w:val="both"/>
        <w:rPr>
          <w:rFonts w:ascii="Tahoma" w:hAnsi="Tahoma" w:cs="Tahoma"/>
          <w:sz w:val="22"/>
          <w:szCs w:val="22"/>
          <w:lang w:val="es-PE"/>
        </w:rPr>
      </w:pPr>
    </w:p>
    <w:p w:rsidR="00B6275A" w:rsidRPr="001B704A" w:rsidRDefault="00B6275A" w:rsidP="00B6275A">
      <w:pPr>
        <w:pStyle w:val="Prrafodelista"/>
        <w:numPr>
          <w:ilvl w:val="0"/>
          <w:numId w:val="28"/>
        </w:numPr>
        <w:autoSpaceDE w:val="0"/>
        <w:autoSpaceDN w:val="0"/>
        <w:adjustRightInd w:val="0"/>
        <w:ind w:left="851"/>
        <w:contextualSpacing/>
        <w:jc w:val="both"/>
        <w:rPr>
          <w:rFonts w:ascii="Tahoma" w:hAnsi="Tahoma" w:cs="Tahoma"/>
          <w:sz w:val="22"/>
          <w:szCs w:val="22"/>
          <w:lang w:val="es-PE"/>
        </w:rPr>
      </w:pPr>
      <w:r w:rsidRPr="001B704A">
        <w:rPr>
          <w:rFonts w:ascii="Tahoma" w:hAnsi="Tahoma" w:cs="Tahoma"/>
          <w:sz w:val="22"/>
          <w:szCs w:val="22"/>
          <w:lang w:val="es-PE"/>
        </w:rPr>
        <w:t>Ahora bien, del análisis de la documentación que el Impugnante anexa en su propuesta técnica para acreditar la experiencia mínima requerida para el Residente de Obra propuesto,</w:t>
      </w:r>
      <w:r w:rsidRPr="001B704A">
        <w:rPr>
          <w:rFonts w:ascii="Tahoma" w:hAnsi="Tahoma" w:cs="Tahoma"/>
          <w:sz w:val="22"/>
          <w:szCs w:val="22"/>
        </w:rPr>
        <w:t xml:space="preserve"> la misma que se encuentra relacionada con el objeto de la convocatoria,</w:t>
      </w:r>
      <w:r w:rsidRPr="001B704A">
        <w:rPr>
          <w:rFonts w:ascii="Tahoma" w:hAnsi="Tahoma" w:cs="Tahoma"/>
          <w:sz w:val="22"/>
          <w:szCs w:val="22"/>
          <w:lang w:val="es-PE"/>
        </w:rPr>
        <w:t xml:space="preserve"> como de la información remitida por Electroperu, se aprecia </w:t>
      </w:r>
      <w:r w:rsidRPr="001B704A">
        <w:rPr>
          <w:rFonts w:ascii="Tahoma" w:hAnsi="Tahoma" w:cs="Tahoma"/>
          <w:sz w:val="22"/>
          <w:szCs w:val="22"/>
        </w:rPr>
        <w:t xml:space="preserve">que en efecto el ingeniero Cayo Jaro ha prestado sus servicios como residente, debiéndose tomar en cuenta únicamente para contabilizar el plazo mínimo exigido en las Bases, el periodo comprendido entre el </w:t>
      </w:r>
      <w:r w:rsidRPr="001B704A">
        <w:rPr>
          <w:rFonts w:ascii="Tahoma" w:hAnsi="Tahoma" w:cs="Tahoma"/>
          <w:sz w:val="22"/>
          <w:szCs w:val="22"/>
          <w:lang w:val="es-PE"/>
        </w:rPr>
        <w:t>22.06.2007 hasta el 30.12.2008. En esa medida, tenemos que la experiencia acreditada como residente suma un periodo de 18 meses y 8 días.</w:t>
      </w:r>
    </w:p>
    <w:p w:rsidR="00B6275A" w:rsidRPr="00794292" w:rsidRDefault="00B6275A" w:rsidP="00B6275A">
      <w:pPr>
        <w:pStyle w:val="Prrafodelista"/>
        <w:autoSpaceDE w:val="0"/>
        <w:autoSpaceDN w:val="0"/>
        <w:adjustRightInd w:val="0"/>
        <w:ind w:left="567"/>
        <w:jc w:val="both"/>
        <w:rPr>
          <w:rFonts w:ascii="Tahoma" w:hAnsi="Tahoma" w:cs="Tahoma"/>
          <w:sz w:val="22"/>
          <w:szCs w:val="22"/>
          <w:lang w:val="es-PE"/>
        </w:rPr>
      </w:pPr>
    </w:p>
    <w:p w:rsidR="00B6275A" w:rsidRPr="00794292" w:rsidRDefault="00B6275A" w:rsidP="00B6275A">
      <w:pPr>
        <w:pStyle w:val="Prrafodelista"/>
        <w:tabs>
          <w:tab w:val="left" w:pos="426"/>
        </w:tabs>
        <w:autoSpaceDE w:val="0"/>
        <w:autoSpaceDN w:val="0"/>
        <w:adjustRightInd w:val="0"/>
        <w:ind w:left="426"/>
        <w:jc w:val="both"/>
        <w:rPr>
          <w:rFonts w:ascii="Tahoma" w:hAnsi="Tahoma" w:cs="Tahoma"/>
          <w:b/>
          <w:sz w:val="22"/>
          <w:szCs w:val="22"/>
          <w:u w:val="single"/>
        </w:rPr>
      </w:pPr>
      <w:r w:rsidRPr="00794292">
        <w:rPr>
          <w:rFonts w:ascii="Tahoma" w:hAnsi="Tahoma" w:cs="Tahoma"/>
          <w:b/>
          <w:sz w:val="22"/>
          <w:szCs w:val="22"/>
          <w:u w:val="single"/>
        </w:rPr>
        <w:t xml:space="preserve">Mejoramiento del Servicio de Administración de Justicia de la Corte Superior de </w:t>
      </w:r>
      <w:r>
        <w:rPr>
          <w:rFonts w:ascii="Tahoma" w:hAnsi="Tahoma" w:cs="Tahoma"/>
          <w:b/>
          <w:sz w:val="22"/>
          <w:szCs w:val="22"/>
          <w:u w:val="single"/>
        </w:rPr>
        <w:t>J</w:t>
      </w:r>
      <w:r w:rsidRPr="00794292">
        <w:rPr>
          <w:rFonts w:ascii="Tahoma" w:hAnsi="Tahoma" w:cs="Tahoma"/>
          <w:b/>
          <w:sz w:val="22"/>
          <w:szCs w:val="22"/>
          <w:u w:val="single"/>
        </w:rPr>
        <w:t>usticia de Apurímac</w:t>
      </w:r>
    </w:p>
    <w:p w:rsidR="00B6275A" w:rsidRPr="001B704A" w:rsidRDefault="00B6275A" w:rsidP="00B6275A">
      <w:pPr>
        <w:tabs>
          <w:tab w:val="left" w:pos="426"/>
        </w:tabs>
        <w:autoSpaceDE w:val="0"/>
        <w:autoSpaceDN w:val="0"/>
        <w:adjustRightInd w:val="0"/>
        <w:jc w:val="both"/>
        <w:rPr>
          <w:rFonts w:ascii="Tahoma" w:hAnsi="Tahoma" w:cs="Tahoma"/>
          <w:b/>
          <w:sz w:val="22"/>
          <w:szCs w:val="22"/>
          <w:u w:val="single"/>
        </w:rPr>
      </w:pP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El impugnante indicó en su propuesta técnica que el mencionado ingeniero trabajó como ingeniero residente de dicha obra por 210 días calendarios, adjuntando el Acta de Recepción obrante en el folio 071 del expediente, donde se aprecia el periodo señalado.</w:t>
      </w: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Asimismo, adjunto al Acta de Recepción se encuentra el respectivo contrato suscrito con UNOPS.</w:t>
      </w: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lastRenderedPageBreak/>
        <w:t>El tercero administrado señala que no es posible verificar el periodo de experiencia del profesional propuesto considerando que no hay precisión en las fechas de inicio y termino de la obra.</w:t>
      </w: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Asimismo, señala que como el contrato tampoco refiere fechas, se tomaría en cuenta la fecha de suscripción como la fecha de inicio de ejecución de la obra, en ese sentido, existiría superposición de periodos.</w:t>
      </w: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 xml:space="preserve">Al respecto, cabe señalar que las Bases integradas solicitan, a fin de acreditar la experiencia, se adjunte Acta de Recepción /en caso no se adjunte certificado y/o constancia) suscrito por el Residente de Obra propuesto </w:t>
      </w:r>
      <w:r w:rsidRPr="00794292">
        <w:rPr>
          <w:rFonts w:ascii="Tahoma" w:hAnsi="Tahoma" w:cs="Tahoma"/>
          <w:b/>
          <w:sz w:val="22"/>
          <w:szCs w:val="22"/>
          <w:u w:val="single"/>
        </w:rPr>
        <w:t>y/o contratos, y/o conformidad de servicios</w:t>
      </w:r>
      <w:r w:rsidRPr="00794292">
        <w:rPr>
          <w:rFonts w:ascii="Tahoma" w:hAnsi="Tahoma" w:cs="Tahoma"/>
          <w:sz w:val="22"/>
          <w:szCs w:val="22"/>
        </w:rPr>
        <w:t>. En ese sentido, a fin de acreditar la experiencia del ingeniero basta con la presentación del Acta de Recepción, documento que reviste la calidad de veraz, sin perjuicio de la fiscalización posterior efectuada por la Entidad.</w:t>
      </w: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De otro lado, cabe advertir que el Contrato suscrito con UNOPS no es contrario a lo señalado en el Acta de Recepción, sino por el contrario reafirma lo declarado por el Impugnante, en ese sentido, no resulta amparable las fechas propuestas al libre albedrio por el tercero administrado a considerarse, en cuyo concepto, habría superposición de fechas.</w:t>
      </w:r>
    </w:p>
    <w:p w:rsidR="00B6275A" w:rsidRPr="00794292" w:rsidRDefault="00B6275A" w:rsidP="00B6275A">
      <w:pPr>
        <w:pStyle w:val="Prrafodelista"/>
        <w:numPr>
          <w:ilvl w:val="0"/>
          <w:numId w:val="29"/>
        </w:numPr>
        <w:tabs>
          <w:tab w:val="left" w:pos="426"/>
        </w:tabs>
        <w:autoSpaceDE w:val="0"/>
        <w:autoSpaceDN w:val="0"/>
        <w:adjustRightInd w:val="0"/>
        <w:ind w:left="851"/>
        <w:jc w:val="both"/>
        <w:rPr>
          <w:rFonts w:ascii="Tahoma" w:hAnsi="Tahoma" w:cs="Tahoma"/>
          <w:sz w:val="22"/>
          <w:szCs w:val="22"/>
        </w:rPr>
      </w:pPr>
      <w:r w:rsidRPr="00794292">
        <w:rPr>
          <w:rFonts w:ascii="Tahoma" w:hAnsi="Tahoma" w:cs="Tahoma"/>
          <w:sz w:val="22"/>
          <w:szCs w:val="22"/>
        </w:rPr>
        <w:t xml:space="preserve">Finalmente, cabe advertir que el Acta de Recepción de la Obra es el documento emitido y suscrito por el Comité y el contratista, luego de la culminación de la obra, de la designación del comité de recepción, de la subsanación de las observaciones, en caso los hubiere; por lo tanto, lo especificado en ella respecto de lo ocurrido en la Obra reviste principal importancia a considerar a diferencia del contrato, que fue suscrito de manera primigenia al inicio de la ejecución de la obra; en ese sentido, cabe señalar que en este extremo, el impugnante ha logrado acreditar, la experiencia de su ingeniero propuesto por un periodo de 210 días calendario.  </w:t>
      </w:r>
    </w:p>
    <w:p w:rsidR="00B6275A" w:rsidRPr="00794292" w:rsidRDefault="00B6275A" w:rsidP="00B6275A">
      <w:pPr>
        <w:pStyle w:val="Prrafodelista"/>
        <w:tabs>
          <w:tab w:val="left" w:pos="426"/>
        </w:tabs>
        <w:autoSpaceDE w:val="0"/>
        <w:autoSpaceDN w:val="0"/>
        <w:adjustRightInd w:val="0"/>
        <w:ind w:left="851"/>
        <w:jc w:val="both"/>
        <w:rPr>
          <w:rFonts w:ascii="Tahoma" w:hAnsi="Tahoma" w:cs="Tahoma"/>
          <w:sz w:val="22"/>
          <w:szCs w:val="22"/>
        </w:rPr>
      </w:pPr>
    </w:p>
    <w:p w:rsidR="00B6275A" w:rsidRPr="00794292" w:rsidRDefault="00B6275A" w:rsidP="00B6275A">
      <w:pPr>
        <w:ind w:left="426"/>
        <w:jc w:val="both"/>
        <w:rPr>
          <w:rFonts w:ascii="Tahoma" w:hAnsi="Tahoma" w:cs="Tahoma"/>
          <w:sz w:val="22"/>
          <w:szCs w:val="22"/>
        </w:rPr>
      </w:pPr>
      <w:r w:rsidRPr="00794292">
        <w:rPr>
          <w:rFonts w:ascii="Tahoma" w:hAnsi="Tahoma" w:cs="Tahoma"/>
          <w:sz w:val="22"/>
          <w:szCs w:val="22"/>
        </w:rPr>
        <w:t xml:space="preserve">En ese sentido, el tercero administrado señala que el impugnante no cumple con el RTM de los cinco años como experiencia mínima. Sin embargo, del análisis llevado a cabo </w:t>
      </w:r>
      <w:r>
        <w:rPr>
          <w:rFonts w:ascii="Tahoma" w:hAnsi="Tahoma" w:cs="Tahoma"/>
          <w:sz w:val="22"/>
          <w:szCs w:val="22"/>
        </w:rPr>
        <w:t xml:space="preserve">por este Tribunal </w:t>
      </w:r>
      <w:r w:rsidRPr="00794292">
        <w:rPr>
          <w:rFonts w:ascii="Tahoma" w:hAnsi="Tahoma" w:cs="Tahoma"/>
          <w:sz w:val="22"/>
          <w:szCs w:val="22"/>
        </w:rPr>
        <w:t>en el extremo referido al residente de obra y lo acreditado en cuanto a los requerimientos técnicos mínimos solicitados en las Bases resulta lo siguiente:</w:t>
      </w:r>
    </w:p>
    <w:p w:rsidR="00B6275A" w:rsidRDefault="00B6275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Default="009A2DAA" w:rsidP="00B6275A">
      <w:pPr>
        <w:ind w:left="426"/>
        <w:jc w:val="both"/>
        <w:rPr>
          <w:rFonts w:ascii="Tahoma" w:hAnsi="Tahoma" w:cs="Tahoma"/>
          <w:sz w:val="22"/>
          <w:szCs w:val="22"/>
        </w:rPr>
      </w:pPr>
    </w:p>
    <w:p w:rsidR="009A2DAA" w:rsidRPr="00794292" w:rsidRDefault="009A2DAA" w:rsidP="00B6275A">
      <w:pPr>
        <w:ind w:left="426"/>
        <w:jc w:val="both"/>
        <w:rPr>
          <w:rFonts w:ascii="Tahoma" w:hAnsi="Tahoma" w:cs="Tahoma"/>
          <w:sz w:val="22"/>
          <w:szCs w:val="22"/>
        </w:rPr>
      </w:pPr>
    </w:p>
    <w:p w:rsidR="00B6275A" w:rsidRPr="00794292" w:rsidRDefault="00B6275A" w:rsidP="00B6275A">
      <w:pPr>
        <w:ind w:left="426"/>
        <w:jc w:val="both"/>
        <w:rPr>
          <w:rFonts w:ascii="Tahoma" w:hAnsi="Tahoma" w:cs="Tahoma"/>
          <w:sz w:val="22"/>
          <w:szCs w:val="22"/>
        </w:rPr>
      </w:pPr>
      <w:r w:rsidRPr="00794292">
        <w:rPr>
          <w:rFonts w:ascii="Tahoma" w:hAnsi="Tahoma" w:cs="Tahoma"/>
          <w:sz w:val="22"/>
          <w:szCs w:val="22"/>
        </w:rPr>
        <w:t xml:space="preserve"> </w:t>
      </w:r>
    </w:p>
    <w:tbl>
      <w:tblPr>
        <w:tblStyle w:val="Tablaconcuadrcula"/>
        <w:tblW w:w="0" w:type="auto"/>
        <w:tblInd w:w="426" w:type="dxa"/>
        <w:tblLook w:val="04A0"/>
      </w:tblPr>
      <w:tblGrid>
        <w:gridCol w:w="531"/>
        <w:gridCol w:w="5247"/>
        <w:gridCol w:w="1275"/>
        <w:gridCol w:w="1134"/>
      </w:tblGrid>
      <w:tr w:rsidR="00B6275A" w:rsidRPr="00794292" w:rsidTr="005C4B97">
        <w:tc>
          <w:tcPr>
            <w:tcW w:w="531" w:type="dxa"/>
          </w:tcPr>
          <w:p w:rsidR="00B6275A" w:rsidRPr="00794292" w:rsidRDefault="00B6275A" w:rsidP="005C4B97">
            <w:pPr>
              <w:jc w:val="center"/>
              <w:rPr>
                <w:rFonts w:ascii="Tahoma" w:hAnsi="Tahoma" w:cs="Tahoma"/>
                <w:b/>
              </w:rPr>
            </w:pPr>
            <w:r w:rsidRPr="00794292">
              <w:rPr>
                <w:rFonts w:ascii="Tahoma" w:hAnsi="Tahoma" w:cs="Tahoma"/>
                <w:b/>
              </w:rPr>
              <w:lastRenderedPageBreak/>
              <w:t>Nº</w:t>
            </w:r>
          </w:p>
        </w:tc>
        <w:tc>
          <w:tcPr>
            <w:tcW w:w="5247" w:type="dxa"/>
          </w:tcPr>
          <w:p w:rsidR="00B6275A" w:rsidRPr="00794292" w:rsidRDefault="00B6275A" w:rsidP="005C4B97">
            <w:pPr>
              <w:jc w:val="center"/>
              <w:rPr>
                <w:rFonts w:ascii="Tahoma" w:hAnsi="Tahoma" w:cs="Tahoma"/>
                <w:b/>
              </w:rPr>
            </w:pPr>
            <w:r w:rsidRPr="00794292">
              <w:rPr>
                <w:rFonts w:ascii="Tahoma" w:hAnsi="Tahoma" w:cs="Tahoma"/>
                <w:b/>
              </w:rPr>
              <w:t>NOMBRE DE LA OBRA</w:t>
            </w:r>
          </w:p>
        </w:tc>
        <w:tc>
          <w:tcPr>
            <w:tcW w:w="1275" w:type="dxa"/>
          </w:tcPr>
          <w:p w:rsidR="00B6275A" w:rsidRPr="00794292" w:rsidRDefault="00B6275A" w:rsidP="005C4B97">
            <w:pPr>
              <w:jc w:val="center"/>
              <w:rPr>
                <w:rFonts w:ascii="Tahoma" w:hAnsi="Tahoma" w:cs="Tahoma"/>
                <w:b/>
              </w:rPr>
            </w:pPr>
            <w:r w:rsidRPr="00794292">
              <w:rPr>
                <w:rFonts w:ascii="Tahoma" w:hAnsi="Tahoma" w:cs="Tahoma"/>
                <w:b/>
              </w:rPr>
              <w:t>Meses</w:t>
            </w:r>
          </w:p>
        </w:tc>
        <w:tc>
          <w:tcPr>
            <w:tcW w:w="1134"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b/>
              </w:rPr>
            </w:pPr>
            <w:r w:rsidRPr="00794292">
              <w:rPr>
                <w:rFonts w:ascii="Tahoma" w:hAnsi="Tahoma" w:cs="Tahoma"/>
                <w:b/>
              </w:rPr>
              <w:t>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1</w:t>
            </w:r>
          </w:p>
        </w:tc>
        <w:tc>
          <w:tcPr>
            <w:tcW w:w="524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I.E. José Carlos Mariátegui</w:t>
            </w:r>
          </w:p>
        </w:tc>
        <w:tc>
          <w:tcPr>
            <w:tcW w:w="1275" w:type="dxa"/>
          </w:tcPr>
          <w:p w:rsidR="00B6275A" w:rsidRPr="00794292" w:rsidRDefault="00B6275A" w:rsidP="005C4B97">
            <w:pPr>
              <w:jc w:val="center"/>
              <w:rPr>
                <w:rFonts w:ascii="Tahoma" w:hAnsi="Tahoma" w:cs="Tahoma"/>
              </w:rPr>
            </w:pPr>
            <w:r w:rsidRPr="00794292">
              <w:rPr>
                <w:rFonts w:ascii="Tahoma" w:hAnsi="Tahoma" w:cs="Tahoma"/>
              </w:rPr>
              <w:t>8 meses</w:t>
            </w:r>
          </w:p>
        </w:tc>
        <w:tc>
          <w:tcPr>
            <w:tcW w:w="1134" w:type="dxa"/>
            <w:tcBorders>
              <w:top w:val="nil"/>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2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2</w:t>
            </w:r>
          </w:p>
        </w:tc>
        <w:tc>
          <w:tcPr>
            <w:tcW w:w="524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C.E. 50070-Acos-Cusco</w:t>
            </w:r>
          </w:p>
        </w:tc>
        <w:tc>
          <w:tcPr>
            <w:tcW w:w="1275" w:type="dxa"/>
          </w:tcPr>
          <w:p w:rsidR="00B6275A" w:rsidRPr="00794292" w:rsidRDefault="00B6275A" w:rsidP="005C4B97">
            <w:pPr>
              <w:jc w:val="center"/>
              <w:rPr>
                <w:rFonts w:ascii="Tahoma" w:hAnsi="Tahoma" w:cs="Tahoma"/>
              </w:rPr>
            </w:pPr>
            <w:r w:rsidRPr="00794292">
              <w:rPr>
                <w:rFonts w:ascii="Tahoma" w:hAnsi="Tahoma" w:cs="Tahoma"/>
              </w:rPr>
              <w:t>10 meses</w:t>
            </w:r>
          </w:p>
        </w:tc>
        <w:tc>
          <w:tcPr>
            <w:tcW w:w="1134"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13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3</w:t>
            </w:r>
          </w:p>
        </w:tc>
        <w:tc>
          <w:tcPr>
            <w:tcW w:w="524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Conjunto Residencial Multifamiliar Costa Castaña</w:t>
            </w:r>
          </w:p>
        </w:tc>
        <w:tc>
          <w:tcPr>
            <w:tcW w:w="1275" w:type="dxa"/>
          </w:tcPr>
          <w:p w:rsidR="00B6275A" w:rsidRPr="00794292" w:rsidRDefault="00B6275A" w:rsidP="005C4B97">
            <w:pPr>
              <w:jc w:val="center"/>
              <w:rPr>
                <w:rFonts w:ascii="Tahoma" w:hAnsi="Tahoma" w:cs="Tahoma"/>
              </w:rPr>
            </w:pPr>
            <w:r w:rsidRPr="00794292">
              <w:rPr>
                <w:rFonts w:ascii="Tahoma" w:hAnsi="Tahoma" w:cs="Tahoma"/>
              </w:rPr>
              <w:t>14 meses</w:t>
            </w:r>
          </w:p>
        </w:tc>
        <w:tc>
          <w:tcPr>
            <w:tcW w:w="1134"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26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4</w:t>
            </w:r>
          </w:p>
        </w:tc>
        <w:tc>
          <w:tcPr>
            <w:tcW w:w="524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Construcción de 57 Vivienda en el Centro Mantaro</w:t>
            </w:r>
          </w:p>
        </w:tc>
        <w:tc>
          <w:tcPr>
            <w:tcW w:w="1275" w:type="dxa"/>
          </w:tcPr>
          <w:p w:rsidR="00B6275A" w:rsidRPr="00794292" w:rsidRDefault="00B6275A" w:rsidP="005C4B97">
            <w:pPr>
              <w:jc w:val="center"/>
              <w:rPr>
                <w:rFonts w:ascii="Tahoma" w:hAnsi="Tahoma" w:cs="Tahoma"/>
              </w:rPr>
            </w:pPr>
            <w:r w:rsidRPr="00794292">
              <w:rPr>
                <w:rFonts w:ascii="Tahoma" w:hAnsi="Tahoma" w:cs="Tahoma"/>
              </w:rPr>
              <w:t>18 meses</w:t>
            </w:r>
          </w:p>
        </w:tc>
        <w:tc>
          <w:tcPr>
            <w:tcW w:w="1134"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r w:rsidRPr="00794292">
              <w:rPr>
                <w:rFonts w:ascii="Tahoma" w:hAnsi="Tahoma" w:cs="Tahoma"/>
              </w:rPr>
              <w:t>8 días</w:t>
            </w: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5</w:t>
            </w:r>
          </w:p>
        </w:tc>
        <w:tc>
          <w:tcPr>
            <w:tcW w:w="524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Mejoramiento de los Servicios de Administración de Justicia de Apurímac</w:t>
            </w:r>
          </w:p>
        </w:tc>
        <w:tc>
          <w:tcPr>
            <w:tcW w:w="1275" w:type="dxa"/>
          </w:tcPr>
          <w:p w:rsidR="00B6275A" w:rsidRPr="00794292" w:rsidRDefault="00B6275A" w:rsidP="005C4B97">
            <w:pPr>
              <w:jc w:val="center"/>
              <w:rPr>
                <w:rFonts w:ascii="Tahoma" w:hAnsi="Tahoma" w:cs="Tahoma"/>
              </w:rPr>
            </w:pPr>
            <w:r w:rsidRPr="00794292">
              <w:rPr>
                <w:rFonts w:ascii="Tahoma" w:hAnsi="Tahoma" w:cs="Tahoma"/>
              </w:rPr>
              <w:t>7 meses</w:t>
            </w:r>
          </w:p>
        </w:tc>
        <w:tc>
          <w:tcPr>
            <w:tcW w:w="1134"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p>
        </w:tc>
      </w:tr>
      <w:tr w:rsidR="00B6275A" w:rsidRPr="00794292" w:rsidTr="005C4B97">
        <w:tc>
          <w:tcPr>
            <w:tcW w:w="531" w:type="dxa"/>
          </w:tcPr>
          <w:p w:rsidR="00B6275A" w:rsidRPr="00794292" w:rsidRDefault="00B6275A" w:rsidP="005C4B97">
            <w:pPr>
              <w:jc w:val="both"/>
              <w:rPr>
                <w:rFonts w:ascii="Tahoma" w:hAnsi="Tahoma" w:cs="Tahoma"/>
              </w:rPr>
            </w:pPr>
            <w:r w:rsidRPr="00794292">
              <w:rPr>
                <w:rFonts w:ascii="Tahoma" w:hAnsi="Tahoma" w:cs="Tahoma"/>
              </w:rPr>
              <w:t>6</w:t>
            </w:r>
          </w:p>
        </w:tc>
        <w:tc>
          <w:tcPr>
            <w:tcW w:w="5247" w:type="dxa"/>
          </w:tcPr>
          <w:p w:rsidR="00B6275A" w:rsidRPr="00794292" w:rsidRDefault="00B6275A" w:rsidP="005C4B97">
            <w:pPr>
              <w:tabs>
                <w:tab w:val="left" w:pos="426"/>
              </w:tabs>
              <w:autoSpaceDE w:val="0"/>
              <w:autoSpaceDN w:val="0"/>
              <w:adjustRightInd w:val="0"/>
              <w:jc w:val="both"/>
              <w:rPr>
                <w:rFonts w:ascii="Tahoma" w:hAnsi="Tahoma" w:cs="Tahoma"/>
              </w:rPr>
            </w:pPr>
            <w:r w:rsidRPr="00794292">
              <w:rPr>
                <w:rFonts w:ascii="Tahoma" w:hAnsi="Tahoma" w:cs="Tahoma"/>
              </w:rPr>
              <w:t>Construcción del cuartel de Bomberos-Quillabamba-Cusco</w:t>
            </w:r>
          </w:p>
        </w:tc>
        <w:tc>
          <w:tcPr>
            <w:tcW w:w="1275" w:type="dxa"/>
          </w:tcPr>
          <w:p w:rsidR="00B6275A" w:rsidRPr="00794292" w:rsidRDefault="00B6275A" w:rsidP="005C4B97">
            <w:pPr>
              <w:jc w:val="center"/>
              <w:rPr>
                <w:rFonts w:ascii="Tahoma" w:hAnsi="Tahoma" w:cs="Tahoma"/>
              </w:rPr>
            </w:pPr>
            <w:r w:rsidRPr="00794292">
              <w:rPr>
                <w:rFonts w:ascii="Tahoma" w:hAnsi="Tahoma" w:cs="Tahoma"/>
              </w:rPr>
              <w:t>6 meses</w:t>
            </w:r>
          </w:p>
        </w:tc>
        <w:tc>
          <w:tcPr>
            <w:tcW w:w="1134" w:type="dxa"/>
            <w:tcBorders>
              <w:top w:val="single" w:sz="4" w:space="0" w:color="auto"/>
              <w:bottom w:val="single" w:sz="4" w:space="0" w:color="auto"/>
              <w:right w:val="single" w:sz="4" w:space="0" w:color="auto"/>
            </w:tcBorders>
            <w:shd w:val="clear" w:color="auto" w:fill="auto"/>
          </w:tcPr>
          <w:p w:rsidR="00B6275A" w:rsidRPr="00794292" w:rsidRDefault="00B6275A" w:rsidP="005C4B97">
            <w:pPr>
              <w:spacing w:after="200" w:line="276" w:lineRule="auto"/>
              <w:jc w:val="center"/>
              <w:rPr>
                <w:rFonts w:ascii="Tahoma" w:hAnsi="Tahoma" w:cs="Tahoma"/>
              </w:rPr>
            </w:pPr>
          </w:p>
        </w:tc>
      </w:tr>
      <w:tr w:rsidR="00B6275A" w:rsidRPr="00794292" w:rsidTr="005C4B97">
        <w:tblPrEx>
          <w:tblCellMar>
            <w:left w:w="70" w:type="dxa"/>
            <w:right w:w="70" w:type="dxa"/>
          </w:tblCellMar>
          <w:tblLook w:val="0000"/>
        </w:tblPrEx>
        <w:trPr>
          <w:trHeight w:val="464"/>
        </w:trPr>
        <w:tc>
          <w:tcPr>
            <w:tcW w:w="5778" w:type="dxa"/>
            <w:gridSpan w:val="2"/>
          </w:tcPr>
          <w:p w:rsidR="00B6275A" w:rsidRPr="00794292" w:rsidRDefault="00B6275A" w:rsidP="005C4B97">
            <w:pPr>
              <w:jc w:val="center"/>
              <w:rPr>
                <w:rFonts w:ascii="Tahoma" w:hAnsi="Tahoma" w:cs="Tahoma"/>
                <w:b/>
              </w:rPr>
            </w:pPr>
            <w:r w:rsidRPr="00794292">
              <w:rPr>
                <w:rFonts w:ascii="Tahoma" w:hAnsi="Tahoma" w:cs="Tahoma"/>
                <w:b/>
              </w:rPr>
              <w:t>TOTAL</w:t>
            </w:r>
          </w:p>
        </w:tc>
        <w:tc>
          <w:tcPr>
            <w:tcW w:w="2409" w:type="dxa"/>
            <w:gridSpan w:val="2"/>
          </w:tcPr>
          <w:p w:rsidR="00B6275A" w:rsidRPr="00794292" w:rsidRDefault="00B6275A" w:rsidP="005C4B97">
            <w:pPr>
              <w:jc w:val="center"/>
              <w:rPr>
                <w:rFonts w:ascii="Tahoma" w:hAnsi="Tahoma" w:cs="Tahoma"/>
              </w:rPr>
            </w:pPr>
            <w:r w:rsidRPr="00794292">
              <w:rPr>
                <w:rFonts w:ascii="Tahoma" w:hAnsi="Tahoma" w:cs="Tahoma"/>
              </w:rPr>
              <w:t xml:space="preserve">63 meses y 49 días (64 meses y 19 días)= </w:t>
            </w:r>
            <w:r w:rsidRPr="00794292">
              <w:rPr>
                <w:rFonts w:ascii="Tahoma" w:hAnsi="Tahoma" w:cs="Tahoma"/>
                <w:b/>
              </w:rPr>
              <w:t>5 años, 3 meses y 19 días.</w:t>
            </w:r>
          </w:p>
        </w:tc>
      </w:tr>
    </w:tbl>
    <w:p w:rsidR="00B6275A" w:rsidRDefault="00B6275A" w:rsidP="00B6275A">
      <w:pPr>
        <w:pStyle w:val="Prrafodelista"/>
        <w:ind w:left="426"/>
        <w:jc w:val="both"/>
        <w:rPr>
          <w:rFonts w:ascii="Tahoma" w:hAnsi="Tahoma" w:cs="Tahoma"/>
          <w:sz w:val="22"/>
          <w:szCs w:val="22"/>
        </w:rPr>
      </w:pPr>
    </w:p>
    <w:p w:rsidR="00B6275A" w:rsidRPr="005C4B97" w:rsidRDefault="00B6275A" w:rsidP="005C4B97">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5C4B97">
        <w:rPr>
          <w:rFonts w:ascii="Tahoma" w:hAnsi="Tahoma" w:cs="Tahoma"/>
          <w:sz w:val="22"/>
          <w:szCs w:val="22"/>
        </w:rPr>
        <w:t>En consecuencia, se aprecia que el impugnante ha acreditado la experiencia de su ingeniero residente propuesto en un periodo no menor a cinco (5) años acumulados, por lo tanto, cumple con el RTM previsto en las Bases Integradas.</w:t>
      </w:r>
    </w:p>
    <w:p w:rsidR="009A2DAA" w:rsidRPr="005C4B97" w:rsidRDefault="009A2DAA" w:rsidP="005C4B97">
      <w:pPr>
        <w:pStyle w:val="Prrafodelista"/>
        <w:tabs>
          <w:tab w:val="left" w:pos="426"/>
        </w:tabs>
        <w:autoSpaceDE w:val="0"/>
        <w:autoSpaceDN w:val="0"/>
        <w:adjustRightInd w:val="0"/>
        <w:ind w:left="426"/>
        <w:jc w:val="both"/>
        <w:rPr>
          <w:rFonts w:ascii="Tahoma" w:hAnsi="Tahoma" w:cs="Tahoma"/>
          <w:b/>
          <w:sz w:val="22"/>
          <w:szCs w:val="22"/>
          <w:u w:val="single"/>
        </w:rPr>
      </w:pPr>
    </w:p>
    <w:p w:rsidR="00B6275A" w:rsidRPr="005C4B97" w:rsidRDefault="00B6275A" w:rsidP="005C4B97">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5C4B97">
        <w:rPr>
          <w:rFonts w:ascii="Tahoma" w:hAnsi="Tahoma" w:cs="Tahoma"/>
          <w:sz w:val="22"/>
          <w:szCs w:val="22"/>
          <w:lang w:val="es-ES_tradnl"/>
        </w:rPr>
        <w:t xml:space="preserve">Como se puede advertir, resulta amparable el cuestionamiento realizado por el Impugnante, en relación al beneficio que le corresponde por estar exonerado </w:t>
      </w:r>
      <w:r w:rsidRPr="005C4B97">
        <w:rPr>
          <w:rFonts w:ascii="Tahoma" w:hAnsi="Tahoma" w:cs="Tahoma"/>
          <w:sz w:val="22"/>
          <w:szCs w:val="22"/>
        </w:rPr>
        <w:t xml:space="preserve">del IGV, establecida en la Ley 27037, </w:t>
      </w:r>
      <w:r w:rsidRPr="005C4B97">
        <w:rPr>
          <w:rFonts w:ascii="Tahoma" w:hAnsi="Tahoma" w:cs="Tahoma"/>
          <w:sz w:val="22"/>
          <w:szCs w:val="22"/>
          <w:lang w:val="es-ES_tradnl"/>
        </w:rPr>
        <w:t>bajo el análisis efectuado, y no así los argumentos vertidos por el tercero administrado durante el presente procedimiento respecto en relación a ello, así como del supuesto incumplimiento de los RTM relativos a la experiencia acreditada del asistente y del residente de obra propuestos por el Impugnante.</w:t>
      </w:r>
    </w:p>
    <w:p w:rsidR="009A2DAA" w:rsidRPr="005C4B97" w:rsidRDefault="009A2DAA" w:rsidP="005C4B97">
      <w:pPr>
        <w:pStyle w:val="Prrafodelista"/>
        <w:rPr>
          <w:rFonts w:ascii="Tahoma" w:hAnsi="Tahoma" w:cs="Tahoma"/>
          <w:b/>
          <w:sz w:val="22"/>
          <w:szCs w:val="22"/>
          <w:u w:val="single"/>
        </w:rPr>
      </w:pPr>
    </w:p>
    <w:p w:rsidR="00B6275A" w:rsidRPr="005C4B97" w:rsidRDefault="00B6275A" w:rsidP="005C4B97">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5C4B97">
        <w:rPr>
          <w:rFonts w:ascii="Tahoma" w:hAnsi="Tahoma" w:cs="Tahoma"/>
          <w:sz w:val="22"/>
          <w:szCs w:val="22"/>
        </w:rPr>
        <w:t>En conclusión, y en base a los argumentos expuestos, en aplicación de lo dispuesto en el numeral 2) del artículo 119º del Reglamento, corresponde declarar fundado el recurso de apelación interpuesto por el Consorcio Rio Mayo respecto de la admisión de su propuesta económica en el proceso de Licitación Pública Nº 001-2011/INPE-OIP (1 Convocatoria) para la ejecución de la obra: “Rehabilitación y Ampliación de la capacidad de albergue en el establecimiento penitenciario de Yurimaguas” ; y, por su efecto, déjese sin efecto el otorgamiento de la Buena Pro al Consorcio Bajo Huallaga.</w:t>
      </w:r>
    </w:p>
    <w:p w:rsidR="005C4B97" w:rsidRDefault="005C4B97" w:rsidP="005C4B97">
      <w:pPr>
        <w:pStyle w:val="Prrafodelista"/>
        <w:rPr>
          <w:rFonts w:ascii="Tahoma" w:hAnsi="Tahoma" w:cs="Tahoma"/>
          <w:b/>
          <w:sz w:val="22"/>
          <w:szCs w:val="22"/>
          <w:u w:val="single"/>
        </w:rPr>
      </w:pPr>
    </w:p>
    <w:p w:rsidR="00B6275A" w:rsidRPr="005C4B97" w:rsidRDefault="00B6275A" w:rsidP="005C4B97">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5C4B97">
        <w:rPr>
          <w:rFonts w:ascii="Tahoma" w:hAnsi="Tahoma" w:cs="Tahoma"/>
          <w:sz w:val="22"/>
          <w:szCs w:val="22"/>
        </w:rPr>
        <w:t xml:space="preserve"> Asimismo, en la medida que el numeral 3) del artículo señalado en el párrafo pre cedente habilita al Tribunal para que otorgue la buena pro a quien corresponda, si cuenta con la información suficiente para ello, este Tribunal considera que el orden de prelación de las propuestas presentadas es el siguiente:</w:t>
      </w:r>
    </w:p>
    <w:p w:rsidR="005C4B97" w:rsidRPr="005C4B97" w:rsidRDefault="005C4B97" w:rsidP="005C4B97">
      <w:pPr>
        <w:pStyle w:val="Prrafodelista"/>
        <w:rPr>
          <w:rFonts w:ascii="Tahoma" w:hAnsi="Tahoma" w:cs="Tahoma"/>
          <w:b/>
          <w:sz w:val="22"/>
          <w:szCs w:val="22"/>
          <w:u w:val="single"/>
        </w:rPr>
      </w:pPr>
    </w:p>
    <w:p w:rsidR="00B6275A" w:rsidRDefault="00B6275A"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p w:rsidR="00B959DD" w:rsidRDefault="00B959DD" w:rsidP="00B6275A">
      <w:pPr>
        <w:pStyle w:val="Prrafodelista"/>
        <w:ind w:left="426"/>
        <w:jc w:val="both"/>
        <w:rPr>
          <w:rFonts w:ascii="Tahoma" w:hAnsi="Tahoma" w:cs="Tahoma"/>
          <w:sz w:val="22"/>
          <w:szCs w:val="22"/>
        </w:rPr>
      </w:pPr>
    </w:p>
    <w:p w:rsidR="00535853" w:rsidRDefault="00535853" w:rsidP="00B6275A">
      <w:pPr>
        <w:pStyle w:val="Prrafodelista"/>
        <w:ind w:left="426"/>
        <w:jc w:val="both"/>
        <w:rPr>
          <w:rFonts w:ascii="Tahoma" w:hAnsi="Tahoma" w:cs="Tahoma"/>
          <w:sz w:val="22"/>
          <w:szCs w:val="22"/>
        </w:rPr>
      </w:pPr>
    </w:p>
    <w:p w:rsidR="00535853" w:rsidRDefault="00535853" w:rsidP="00B6275A">
      <w:pPr>
        <w:pStyle w:val="Prrafodelista"/>
        <w:ind w:left="426"/>
        <w:jc w:val="both"/>
        <w:rPr>
          <w:rFonts w:ascii="Tahoma" w:hAnsi="Tahoma" w:cs="Tahoma"/>
          <w:sz w:val="22"/>
          <w:szCs w:val="22"/>
        </w:rPr>
      </w:pPr>
    </w:p>
    <w:p w:rsidR="003760CA" w:rsidRDefault="003760CA"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p w:rsidR="005C4B97" w:rsidRDefault="005C4B97" w:rsidP="00B6275A">
      <w:pPr>
        <w:pStyle w:val="Prrafodelista"/>
        <w:ind w:left="426"/>
        <w:jc w:val="both"/>
        <w:rPr>
          <w:rFonts w:ascii="Tahoma" w:hAnsi="Tahoma" w:cs="Tahoma"/>
          <w:sz w:val="22"/>
          <w:szCs w:val="22"/>
        </w:rPr>
      </w:pPr>
    </w:p>
    <w:tbl>
      <w:tblPr>
        <w:tblpPr w:leftFromText="141" w:rightFromText="141" w:vertAnchor="page" w:horzAnchor="margin" w:tblpY="6018"/>
        <w:tblW w:w="9152" w:type="dxa"/>
        <w:tblLayout w:type="fixed"/>
        <w:tblCellMar>
          <w:left w:w="70" w:type="dxa"/>
          <w:right w:w="70" w:type="dxa"/>
        </w:tblCellMar>
        <w:tblLook w:val="04A0"/>
      </w:tblPr>
      <w:tblGrid>
        <w:gridCol w:w="478"/>
        <w:gridCol w:w="459"/>
        <w:gridCol w:w="1251"/>
        <w:gridCol w:w="1199"/>
        <w:gridCol w:w="1153"/>
        <w:gridCol w:w="1296"/>
        <w:gridCol w:w="2018"/>
        <w:gridCol w:w="1298"/>
      </w:tblGrid>
      <w:tr w:rsidR="005C4B97" w:rsidRPr="00C71DCC" w:rsidTr="004654FE">
        <w:trPr>
          <w:trHeight w:val="484"/>
        </w:trPr>
        <w:tc>
          <w:tcPr>
            <w:tcW w:w="478" w:type="dxa"/>
            <w:vMerge w:val="restart"/>
            <w:tcBorders>
              <w:top w:val="single" w:sz="8" w:space="0" w:color="auto"/>
              <w:left w:val="single" w:sz="8" w:space="0" w:color="auto"/>
              <w:bottom w:val="single" w:sz="8" w:space="0" w:color="000000"/>
              <w:right w:val="single" w:sz="8" w:space="0" w:color="FFFFFF"/>
            </w:tcBorders>
            <w:shd w:val="clear" w:color="000000" w:fill="000000"/>
            <w:noWrap/>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R.P.</w:t>
            </w:r>
          </w:p>
        </w:tc>
        <w:tc>
          <w:tcPr>
            <w:tcW w:w="459" w:type="dxa"/>
            <w:vMerge w:val="restart"/>
            <w:tcBorders>
              <w:top w:val="single" w:sz="8" w:space="0" w:color="auto"/>
              <w:left w:val="single" w:sz="8" w:space="0" w:color="FFFFFF"/>
              <w:bottom w:val="single" w:sz="8" w:space="0" w:color="000000"/>
              <w:right w:val="single" w:sz="8" w:space="0" w:color="FFFFFF"/>
            </w:tcBorders>
            <w:shd w:val="clear" w:color="000000" w:fill="000000"/>
            <w:noWrap/>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 xml:space="preserve">Nº </w:t>
            </w:r>
          </w:p>
        </w:tc>
        <w:tc>
          <w:tcPr>
            <w:tcW w:w="1251" w:type="dxa"/>
            <w:vMerge w:val="restart"/>
            <w:tcBorders>
              <w:top w:val="single" w:sz="8" w:space="0" w:color="auto"/>
              <w:left w:val="single" w:sz="8" w:space="0" w:color="FFFFFF"/>
              <w:bottom w:val="single" w:sz="8" w:space="0" w:color="000000"/>
              <w:right w:val="single" w:sz="8" w:space="0" w:color="FFFFFF"/>
            </w:tcBorders>
            <w:shd w:val="clear" w:color="000000" w:fill="000000"/>
            <w:noWrap/>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POSTOR</w:t>
            </w:r>
          </w:p>
        </w:tc>
        <w:tc>
          <w:tcPr>
            <w:tcW w:w="2352" w:type="dxa"/>
            <w:gridSpan w:val="2"/>
            <w:tcBorders>
              <w:top w:val="single" w:sz="8" w:space="0" w:color="auto"/>
              <w:left w:val="nil"/>
              <w:bottom w:val="single" w:sz="8" w:space="0" w:color="FFFFFF"/>
              <w:right w:val="single" w:sz="8" w:space="0" w:color="FFFFFF"/>
            </w:tcBorders>
            <w:shd w:val="clear" w:color="000000" w:fill="000000"/>
            <w:noWrap/>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Oi</w:t>
            </w:r>
          </w:p>
        </w:tc>
        <w:tc>
          <w:tcPr>
            <w:tcW w:w="1296" w:type="dxa"/>
            <w:tcBorders>
              <w:top w:val="single" w:sz="8" w:space="0" w:color="auto"/>
              <w:left w:val="nil"/>
              <w:bottom w:val="single" w:sz="8" w:space="0" w:color="FFFFFF"/>
              <w:right w:val="single" w:sz="8" w:space="0" w:color="FFFFFF"/>
            </w:tcBorders>
            <w:shd w:val="clear" w:color="000000" w:fill="000000"/>
            <w:noWrap/>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Om</w:t>
            </w:r>
          </w:p>
        </w:tc>
        <w:tc>
          <w:tcPr>
            <w:tcW w:w="2018" w:type="dxa"/>
            <w:tcBorders>
              <w:top w:val="single" w:sz="8" w:space="0" w:color="auto"/>
              <w:left w:val="nil"/>
              <w:bottom w:val="single" w:sz="8" w:space="0" w:color="FFFFFF"/>
              <w:right w:val="single" w:sz="8" w:space="0" w:color="FFFFFF"/>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PMPE</w:t>
            </w:r>
          </w:p>
        </w:tc>
        <w:tc>
          <w:tcPr>
            <w:tcW w:w="1298" w:type="dxa"/>
            <w:tcBorders>
              <w:top w:val="single" w:sz="8" w:space="0" w:color="auto"/>
              <w:left w:val="nil"/>
              <w:bottom w:val="single" w:sz="8" w:space="0" w:color="FFFFFF"/>
              <w:right w:val="single" w:sz="8" w:space="0" w:color="auto"/>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PEi</w:t>
            </w:r>
          </w:p>
        </w:tc>
      </w:tr>
      <w:tr w:rsidR="005C4B97" w:rsidRPr="00C71DCC" w:rsidTr="004654FE">
        <w:trPr>
          <w:trHeight w:val="484"/>
        </w:trPr>
        <w:tc>
          <w:tcPr>
            <w:tcW w:w="478" w:type="dxa"/>
            <w:vMerge/>
            <w:tcBorders>
              <w:top w:val="single" w:sz="8" w:space="0" w:color="auto"/>
              <w:left w:val="single" w:sz="8" w:space="0" w:color="auto"/>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459" w:type="dxa"/>
            <w:vMerge/>
            <w:tcBorders>
              <w:top w:val="single" w:sz="8" w:space="0" w:color="auto"/>
              <w:left w:val="single" w:sz="8" w:space="0" w:color="FFFFFF"/>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1251" w:type="dxa"/>
            <w:vMerge/>
            <w:tcBorders>
              <w:top w:val="single" w:sz="8" w:space="0" w:color="auto"/>
              <w:left w:val="single" w:sz="8" w:space="0" w:color="FFFFFF"/>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2352" w:type="dxa"/>
            <w:gridSpan w:val="2"/>
            <w:tcBorders>
              <w:top w:val="single" w:sz="8" w:space="0" w:color="FFFFFF"/>
              <w:left w:val="nil"/>
              <w:bottom w:val="nil"/>
              <w:right w:val="single" w:sz="8" w:space="0" w:color="FFFFFF"/>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OFERTA ECONOMICA</w:t>
            </w:r>
          </w:p>
        </w:tc>
        <w:tc>
          <w:tcPr>
            <w:tcW w:w="1296" w:type="dxa"/>
            <w:vMerge w:val="restart"/>
            <w:tcBorders>
              <w:top w:val="nil"/>
              <w:left w:val="single" w:sz="8" w:space="0" w:color="FFFFFF"/>
              <w:bottom w:val="single" w:sz="8" w:space="0" w:color="000000"/>
              <w:right w:val="single" w:sz="8" w:space="0" w:color="FFFFFF"/>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OFERTA ECONOMICA DE COSTO MAS BAJO</w:t>
            </w:r>
          </w:p>
        </w:tc>
        <w:tc>
          <w:tcPr>
            <w:tcW w:w="2018" w:type="dxa"/>
            <w:vMerge w:val="restart"/>
            <w:tcBorders>
              <w:top w:val="nil"/>
              <w:left w:val="single" w:sz="8" w:space="0" w:color="FFFFFF"/>
              <w:bottom w:val="single" w:sz="8" w:space="0" w:color="000000"/>
              <w:right w:val="single" w:sz="8" w:space="0" w:color="FFFFFF"/>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PUNTAJE MAXIMO DE LA PROPUESTA ECONOMICA</w:t>
            </w:r>
          </w:p>
        </w:tc>
        <w:tc>
          <w:tcPr>
            <w:tcW w:w="1298" w:type="dxa"/>
            <w:vMerge w:val="restart"/>
            <w:tcBorders>
              <w:top w:val="nil"/>
              <w:left w:val="single" w:sz="8" w:space="0" w:color="FFFFFF"/>
              <w:bottom w:val="single" w:sz="8" w:space="0" w:color="000000"/>
              <w:right w:val="single" w:sz="8" w:space="0" w:color="auto"/>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PUNTAJE DE LA OFERTA ECONOMICA</w:t>
            </w:r>
          </w:p>
        </w:tc>
      </w:tr>
      <w:tr w:rsidR="005C4B97" w:rsidRPr="00C71DCC" w:rsidTr="004654FE">
        <w:trPr>
          <w:trHeight w:val="1127"/>
        </w:trPr>
        <w:tc>
          <w:tcPr>
            <w:tcW w:w="478" w:type="dxa"/>
            <w:vMerge/>
            <w:tcBorders>
              <w:top w:val="single" w:sz="8" w:space="0" w:color="auto"/>
              <w:left w:val="single" w:sz="8" w:space="0" w:color="auto"/>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459" w:type="dxa"/>
            <w:vMerge/>
            <w:tcBorders>
              <w:top w:val="single" w:sz="8" w:space="0" w:color="auto"/>
              <w:left w:val="single" w:sz="8" w:space="0" w:color="FFFFFF"/>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1251" w:type="dxa"/>
            <w:vMerge/>
            <w:tcBorders>
              <w:top w:val="single" w:sz="8" w:space="0" w:color="auto"/>
              <w:left w:val="single" w:sz="8" w:space="0" w:color="FFFFFF"/>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1199" w:type="dxa"/>
            <w:tcBorders>
              <w:top w:val="single" w:sz="8" w:space="0" w:color="FFFFFF"/>
              <w:left w:val="nil"/>
              <w:bottom w:val="single" w:sz="8" w:space="0" w:color="auto"/>
              <w:right w:val="single" w:sz="8" w:space="0" w:color="FFFFFF"/>
            </w:tcBorders>
            <w:shd w:val="clear" w:color="000000" w:fill="000000"/>
            <w:noWrap/>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SIN IGV</w:t>
            </w:r>
          </w:p>
        </w:tc>
        <w:tc>
          <w:tcPr>
            <w:tcW w:w="1153" w:type="dxa"/>
            <w:tcBorders>
              <w:top w:val="nil"/>
              <w:left w:val="nil"/>
              <w:bottom w:val="single" w:sz="8" w:space="0" w:color="auto"/>
              <w:right w:val="single" w:sz="8" w:space="0" w:color="FFFFFF"/>
            </w:tcBorders>
            <w:shd w:val="clear" w:color="000000" w:fill="000000"/>
            <w:vAlign w:val="center"/>
            <w:hideMark/>
          </w:tcPr>
          <w:p w:rsidR="005C4B97" w:rsidRPr="00C71DCC" w:rsidRDefault="005C4B97" w:rsidP="005C4B97">
            <w:pPr>
              <w:jc w:val="center"/>
              <w:rPr>
                <w:rFonts w:ascii="Tahoma" w:hAnsi="Tahoma" w:cs="Tahoma"/>
                <w:b/>
                <w:bCs/>
                <w:color w:val="FFFFFF"/>
                <w:sz w:val="14"/>
                <w:szCs w:val="14"/>
              </w:rPr>
            </w:pPr>
            <w:r w:rsidRPr="00C71DCC">
              <w:rPr>
                <w:rFonts w:ascii="Tahoma" w:hAnsi="Tahoma" w:cs="Tahoma"/>
                <w:b/>
                <w:bCs/>
                <w:color w:val="FFFFFF"/>
                <w:sz w:val="14"/>
                <w:szCs w:val="14"/>
              </w:rPr>
              <w:t>CON IGV (Para Evaluación)</w:t>
            </w:r>
          </w:p>
        </w:tc>
        <w:tc>
          <w:tcPr>
            <w:tcW w:w="1296" w:type="dxa"/>
            <w:vMerge/>
            <w:tcBorders>
              <w:top w:val="nil"/>
              <w:left w:val="single" w:sz="8" w:space="0" w:color="FFFFFF"/>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2018" w:type="dxa"/>
            <w:vMerge/>
            <w:tcBorders>
              <w:top w:val="nil"/>
              <w:left w:val="single" w:sz="8" w:space="0" w:color="FFFFFF"/>
              <w:bottom w:val="single" w:sz="8" w:space="0" w:color="000000"/>
              <w:right w:val="single" w:sz="8" w:space="0" w:color="FFFFFF"/>
            </w:tcBorders>
            <w:vAlign w:val="center"/>
            <w:hideMark/>
          </w:tcPr>
          <w:p w:rsidR="005C4B97" w:rsidRPr="00C71DCC" w:rsidRDefault="005C4B97" w:rsidP="005C4B97">
            <w:pPr>
              <w:rPr>
                <w:rFonts w:ascii="Tahoma" w:hAnsi="Tahoma" w:cs="Tahoma"/>
                <w:b/>
                <w:bCs/>
                <w:color w:val="FFFFFF"/>
                <w:sz w:val="14"/>
                <w:szCs w:val="14"/>
              </w:rPr>
            </w:pPr>
          </w:p>
        </w:tc>
        <w:tc>
          <w:tcPr>
            <w:tcW w:w="1298" w:type="dxa"/>
            <w:vMerge/>
            <w:tcBorders>
              <w:top w:val="nil"/>
              <w:left w:val="single" w:sz="8" w:space="0" w:color="FFFFFF"/>
              <w:bottom w:val="single" w:sz="8" w:space="0" w:color="000000"/>
              <w:right w:val="single" w:sz="8" w:space="0" w:color="auto"/>
            </w:tcBorders>
            <w:vAlign w:val="center"/>
            <w:hideMark/>
          </w:tcPr>
          <w:p w:rsidR="005C4B97" w:rsidRPr="00C71DCC" w:rsidRDefault="005C4B97" w:rsidP="005C4B97">
            <w:pPr>
              <w:rPr>
                <w:rFonts w:ascii="Tahoma" w:hAnsi="Tahoma" w:cs="Tahoma"/>
                <w:b/>
                <w:bCs/>
                <w:color w:val="FFFFFF"/>
                <w:sz w:val="14"/>
                <w:szCs w:val="14"/>
              </w:rPr>
            </w:pPr>
          </w:p>
        </w:tc>
      </w:tr>
      <w:tr w:rsidR="005C4B97" w:rsidRPr="00C71DCC" w:rsidTr="004654FE">
        <w:trPr>
          <w:trHeight w:val="460"/>
        </w:trPr>
        <w:tc>
          <w:tcPr>
            <w:tcW w:w="478"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1</w:t>
            </w:r>
          </w:p>
        </w:tc>
        <w:tc>
          <w:tcPr>
            <w:tcW w:w="459"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1</w:t>
            </w:r>
          </w:p>
        </w:tc>
        <w:tc>
          <w:tcPr>
            <w:tcW w:w="1251" w:type="dxa"/>
            <w:tcBorders>
              <w:top w:val="single" w:sz="8" w:space="0" w:color="auto"/>
              <w:left w:val="nil"/>
              <w:bottom w:val="single" w:sz="4" w:space="0" w:color="auto"/>
              <w:right w:val="single" w:sz="4" w:space="0" w:color="000000"/>
            </w:tcBorders>
            <w:shd w:val="clear" w:color="auto" w:fill="FFFFFF" w:themeFill="background1"/>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CONSORCIO PARAISO</w:t>
            </w:r>
          </w:p>
        </w:tc>
        <w:tc>
          <w:tcPr>
            <w:tcW w:w="1199" w:type="dxa"/>
            <w:tcBorders>
              <w:top w:val="nil"/>
              <w:left w:val="nil"/>
              <w:bottom w:val="single" w:sz="4" w:space="0" w:color="auto"/>
              <w:right w:val="single" w:sz="4" w:space="0" w:color="auto"/>
            </w:tcBorders>
            <w:shd w:val="clear" w:color="auto" w:fill="FFFFFF" w:themeFill="background1"/>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 xml:space="preserve">   5,176,422.00 </w:t>
            </w:r>
          </w:p>
        </w:tc>
        <w:tc>
          <w:tcPr>
            <w:tcW w:w="1153"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 xml:space="preserve">    6,108,177.96 </w:t>
            </w:r>
          </w:p>
        </w:tc>
        <w:tc>
          <w:tcPr>
            <w:tcW w:w="1296"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 xml:space="preserve">      </w:t>
            </w:r>
            <w:r w:rsidRPr="00DE5D97">
              <w:rPr>
                <w:rFonts w:ascii="Tahoma" w:hAnsi="Tahoma" w:cs="Tahoma"/>
                <w:b/>
                <w:bCs/>
                <w:color w:val="000000"/>
                <w:sz w:val="14"/>
                <w:szCs w:val="14"/>
              </w:rPr>
              <w:t>4,395,075.28</w:t>
            </w:r>
          </w:p>
        </w:tc>
        <w:tc>
          <w:tcPr>
            <w:tcW w:w="201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100.00</w:t>
            </w:r>
          </w:p>
        </w:tc>
        <w:tc>
          <w:tcPr>
            <w:tcW w:w="1298"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DE5D97">
              <w:rPr>
                <w:rFonts w:ascii="Tahoma" w:hAnsi="Tahoma" w:cs="Tahoma"/>
                <w:b/>
                <w:bCs/>
                <w:color w:val="000000"/>
                <w:sz w:val="14"/>
                <w:szCs w:val="14"/>
              </w:rPr>
              <w:t>84.91</w:t>
            </w:r>
          </w:p>
        </w:tc>
      </w:tr>
      <w:tr w:rsidR="005C4B97" w:rsidRPr="00C71DCC" w:rsidTr="004654FE">
        <w:trPr>
          <w:trHeight w:val="460"/>
        </w:trPr>
        <w:tc>
          <w:tcPr>
            <w:tcW w:w="478" w:type="dxa"/>
            <w:tcBorders>
              <w:top w:val="nil"/>
              <w:left w:val="single" w:sz="8" w:space="0" w:color="auto"/>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2</w:t>
            </w:r>
          </w:p>
        </w:tc>
        <w:tc>
          <w:tcPr>
            <w:tcW w:w="459" w:type="dxa"/>
            <w:tcBorders>
              <w:top w:val="nil"/>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2</w:t>
            </w:r>
          </w:p>
        </w:tc>
        <w:tc>
          <w:tcPr>
            <w:tcW w:w="1251" w:type="dxa"/>
            <w:tcBorders>
              <w:top w:val="single" w:sz="4" w:space="0" w:color="auto"/>
              <w:left w:val="nil"/>
              <w:bottom w:val="single" w:sz="4" w:space="0" w:color="auto"/>
              <w:right w:val="single" w:sz="4" w:space="0" w:color="000000"/>
            </w:tcBorders>
            <w:shd w:val="clear" w:color="auto" w:fill="FFFFFF" w:themeFill="background1"/>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CONSORCIO BAJO HUALLAGA</w:t>
            </w:r>
          </w:p>
        </w:tc>
        <w:tc>
          <w:tcPr>
            <w:tcW w:w="1199" w:type="dxa"/>
            <w:tcBorders>
              <w:top w:val="nil"/>
              <w:left w:val="nil"/>
              <w:bottom w:val="single" w:sz="4" w:space="0" w:color="auto"/>
              <w:right w:val="single" w:sz="4" w:space="0" w:color="auto"/>
            </w:tcBorders>
            <w:shd w:val="clear" w:color="auto" w:fill="FFFFFF" w:themeFill="background1"/>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 xml:space="preserve">   5,127,587.82 </w:t>
            </w:r>
          </w:p>
        </w:tc>
        <w:tc>
          <w:tcPr>
            <w:tcW w:w="1153" w:type="dxa"/>
            <w:tcBorders>
              <w:top w:val="nil"/>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 xml:space="preserve">    6,050,553.63 </w:t>
            </w:r>
          </w:p>
        </w:tc>
        <w:tc>
          <w:tcPr>
            <w:tcW w:w="1296" w:type="dxa"/>
            <w:tcBorders>
              <w:top w:val="nil"/>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 xml:space="preserve">      </w:t>
            </w:r>
            <w:r w:rsidRPr="00DE5D97">
              <w:rPr>
                <w:rFonts w:ascii="Tahoma" w:hAnsi="Tahoma" w:cs="Tahoma"/>
                <w:b/>
                <w:bCs/>
                <w:color w:val="000000"/>
                <w:sz w:val="14"/>
                <w:szCs w:val="14"/>
              </w:rPr>
              <w:t>4,395,075.28</w:t>
            </w:r>
          </w:p>
        </w:tc>
        <w:tc>
          <w:tcPr>
            <w:tcW w:w="2018" w:type="dxa"/>
            <w:tcBorders>
              <w:top w:val="nil"/>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100.00</w:t>
            </w:r>
          </w:p>
        </w:tc>
        <w:tc>
          <w:tcPr>
            <w:tcW w:w="1298" w:type="dxa"/>
            <w:tcBorders>
              <w:top w:val="nil"/>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DE5D97">
              <w:rPr>
                <w:rFonts w:ascii="Tahoma" w:hAnsi="Tahoma" w:cs="Tahoma"/>
                <w:b/>
                <w:bCs/>
                <w:color w:val="000000"/>
                <w:sz w:val="14"/>
                <w:szCs w:val="14"/>
              </w:rPr>
              <w:t>85.71</w:t>
            </w:r>
          </w:p>
        </w:tc>
      </w:tr>
      <w:tr w:rsidR="005C4B97" w:rsidRPr="00C71DCC" w:rsidTr="004654FE">
        <w:trPr>
          <w:trHeight w:val="460"/>
        </w:trPr>
        <w:tc>
          <w:tcPr>
            <w:tcW w:w="478" w:type="dxa"/>
            <w:tcBorders>
              <w:top w:val="nil"/>
              <w:left w:val="single" w:sz="8" w:space="0" w:color="auto"/>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3</w:t>
            </w:r>
          </w:p>
        </w:tc>
        <w:tc>
          <w:tcPr>
            <w:tcW w:w="459"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3</w:t>
            </w:r>
          </w:p>
        </w:tc>
        <w:tc>
          <w:tcPr>
            <w:tcW w:w="1251" w:type="dxa"/>
            <w:tcBorders>
              <w:top w:val="single" w:sz="4" w:space="0" w:color="auto"/>
              <w:left w:val="nil"/>
              <w:bottom w:val="single" w:sz="4" w:space="0" w:color="auto"/>
              <w:right w:val="single" w:sz="4" w:space="0" w:color="000000"/>
            </w:tcBorders>
            <w:shd w:val="clear" w:color="auto" w:fill="auto"/>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CONSORCIO RIO MAYO</w:t>
            </w:r>
          </w:p>
        </w:tc>
        <w:tc>
          <w:tcPr>
            <w:tcW w:w="1199" w:type="dxa"/>
            <w:tcBorders>
              <w:top w:val="single" w:sz="4" w:space="0" w:color="auto"/>
              <w:left w:val="nil"/>
              <w:bottom w:val="single" w:sz="4" w:space="0" w:color="auto"/>
              <w:right w:val="single" w:sz="4" w:space="0" w:color="000000"/>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Pr>
                <w:rFonts w:ascii="Tahoma" w:hAnsi="Tahoma" w:cs="Tahoma"/>
                <w:b/>
                <w:bCs/>
                <w:color w:val="000000"/>
                <w:sz w:val="14"/>
                <w:szCs w:val="14"/>
              </w:rPr>
              <w:t>4,395,075.28</w:t>
            </w:r>
          </w:p>
        </w:tc>
        <w:tc>
          <w:tcPr>
            <w:tcW w:w="1153" w:type="dxa"/>
            <w:tcBorders>
              <w:top w:val="single" w:sz="4" w:space="0" w:color="auto"/>
              <w:left w:val="nil"/>
              <w:bottom w:val="single" w:sz="4" w:space="0" w:color="auto"/>
              <w:right w:val="single" w:sz="4" w:space="0" w:color="000000"/>
            </w:tcBorders>
            <w:shd w:val="clear" w:color="auto" w:fill="auto"/>
            <w:vAlign w:val="center"/>
          </w:tcPr>
          <w:p w:rsidR="005C4B97" w:rsidRPr="00C71DCC" w:rsidRDefault="005C4B97" w:rsidP="005C4B97">
            <w:pPr>
              <w:jc w:val="center"/>
              <w:rPr>
                <w:rFonts w:ascii="Tahoma" w:hAnsi="Tahoma" w:cs="Tahoma"/>
                <w:b/>
                <w:bCs/>
                <w:color w:val="000000"/>
                <w:sz w:val="14"/>
                <w:szCs w:val="14"/>
              </w:rPr>
            </w:pPr>
            <w:r>
              <w:rPr>
                <w:rFonts w:ascii="Tahoma" w:hAnsi="Tahoma" w:cs="Tahoma"/>
                <w:b/>
                <w:bCs/>
                <w:color w:val="000000"/>
                <w:sz w:val="14"/>
                <w:szCs w:val="14"/>
              </w:rPr>
              <w:t>4,395,075.28</w:t>
            </w:r>
          </w:p>
        </w:tc>
        <w:tc>
          <w:tcPr>
            <w:tcW w:w="1296" w:type="dxa"/>
            <w:tcBorders>
              <w:top w:val="single" w:sz="4" w:space="0" w:color="auto"/>
              <w:left w:val="nil"/>
              <w:bottom w:val="single" w:sz="4" w:space="0" w:color="auto"/>
              <w:right w:val="single" w:sz="4" w:space="0" w:color="000000"/>
            </w:tcBorders>
            <w:shd w:val="clear" w:color="auto" w:fill="auto"/>
            <w:vAlign w:val="center"/>
          </w:tcPr>
          <w:p w:rsidR="005C4B97" w:rsidRPr="00C71DCC" w:rsidRDefault="005C4B97" w:rsidP="005C4B97">
            <w:pPr>
              <w:jc w:val="center"/>
              <w:rPr>
                <w:rFonts w:ascii="Tahoma" w:hAnsi="Tahoma" w:cs="Tahoma"/>
                <w:b/>
                <w:bCs/>
                <w:color w:val="000000"/>
                <w:sz w:val="14"/>
                <w:szCs w:val="14"/>
              </w:rPr>
            </w:pPr>
            <w:r>
              <w:rPr>
                <w:rFonts w:ascii="Tahoma" w:hAnsi="Tahoma" w:cs="Tahoma"/>
                <w:b/>
                <w:bCs/>
                <w:color w:val="000000"/>
                <w:sz w:val="14"/>
                <w:szCs w:val="14"/>
              </w:rPr>
              <w:t>4,395,075.28</w:t>
            </w:r>
          </w:p>
        </w:tc>
        <w:tc>
          <w:tcPr>
            <w:tcW w:w="2018" w:type="dxa"/>
            <w:tcBorders>
              <w:top w:val="single" w:sz="4" w:space="0" w:color="auto"/>
              <w:left w:val="nil"/>
              <w:bottom w:val="single" w:sz="4" w:space="0" w:color="auto"/>
              <w:right w:val="single" w:sz="4" w:space="0" w:color="000000"/>
            </w:tcBorders>
            <w:shd w:val="clear" w:color="auto" w:fill="auto"/>
            <w:vAlign w:val="center"/>
          </w:tcPr>
          <w:p w:rsidR="005C4B97" w:rsidRPr="00C71DCC" w:rsidRDefault="005C4B97" w:rsidP="005C4B97">
            <w:pPr>
              <w:jc w:val="center"/>
              <w:rPr>
                <w:rFonts w:ascii="Tahoma" w:hAnsi="Tahoma" w:cs="Tahoma"/>
                <w:b/>
                <w:bCs/>
                <w:color w:val="000000"/>
                <w:sz w:val="14"/>
                <w:szCs w:val="14"/>
              </w:rPr>
            </w:pPr>
            <w:r>
              <w:rPr>
                <w:rFonts w:ascii="Tahoma" w:hAnsi="Tahoma" w:cs="Tahoma"/>
                <w:b/>
                <w:bCs/>
                <w:color w:val="000000"/>
                <w:sz w:val="14"/>
                <w:szCs w:val="14"/>
              </w:rPr>
              <w:t>100.00</w:t>
            </w:r>
          </w:p>
        </w:tc>
        <w:tc>
          <w:tcPr>
            <w:tcW w:w="1298" w:type="dxa"/>
            <w:tcBorders>
              <w:top w:val="single" w:sz="4" w:space="0" w:color="auto"/>
              <w:left w:val="nil"/>
              <w:bottom w:val="single" w:sz="4" w:space="0" w:color="auto"/>
              <w:right w:val="single" w:sz="4" w:space="0" w:color="000000"/>
            </w:tcBorders>
            <w:shd w:val="clear" w:color="auto" w:fill="auto"/>
            <w:vAlign w:val="center"/>
          </w:tcPr>
          <w:p w:rsidR="005C4B97" w:rsidRPr="00C71DCC" w:rsidRDefault="005C4B97" w:rsidP="005C4B97">
            <w:pPr>
              <w:jc w:val="center"/>
              <w:rPr>
                <w:rFonts w:ascii="Tahoma" w:hAnsi="Tahoma" w:cs="Tahoma"/>
                <w:b/>
                <w:bCs/>
                <w:color w:val="000000"/>
                <w:sz w:val="14"/>
                <w:szCs w:val="14"/>
              </w:rPr>
            </w:pPr>
            <w:r>
              <w:rPr>
                <w:rFonts w:ascii="Tahoma" w:hAnsi="Tahoma" w:cs="Tahoma"/>
                <w:b/>
                <w:bCs/>
                <w:color w:val="000000"/>
                <w:sz w:val="14"/>
                <w:szCs w:val="14"/>
              </w:rPr>
              <w:t>100.00</w:t>
            </w:r>
          </w:p>
        </w:tc>
      </w:tr>
      <w:tr w:rsidR="005C4B97" w:rsidRPr="00C71DCC" w:rsidTr="004654FE">
        <w:trPr>
          <w:trHeight w:val="460"/>
        </w:trPr>
        <w:tc>
          <w:tcPr>
            <w:tcW w:w="478" w:type="dxa"/>
            <w:tcBorders>
              <w:top w:val="nil"/>
              <w:left w:val="single" w:sz="8" w:space="0" w:color="auto"/>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4</w:t>
            </w:r>
          </w:p>
        </w:tc>
        <w:tc>
          <w:tcPr>
            <w:tcW w:w="459"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4</w:t>
            </w:r>
          </w:p>
        </w:tc>
        <w:tc>
          <w:tcPr>
            <w:tcW w:w="1251" w:type="dxa"/>
            <w:tcBorders>
              <w:top w:val="single" w:sz="4" w:space="0" w:color="auto"/>
              <w:left w:val="nil"/>
              <w:bottom w:val="single" w:sz="4" w:space="0" w:color="auto"/>
              <w:right w:val="single" w:sz="4" w:space="0" w:color="000000"/>
            </w:tcBorders>
            <w:shd w:val="clear" w:color="auto" w:fill="auto"/>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CONSORCIO YURIMAGUAS I</w:t>
            </w:r>
          </w:p>
        </w:tc>
        <w:tc>
          <w:tcPr>
            <w:tcW w:w="1199" w:type="dxa"/>
            <w:tcBorders>
              <w:top w:val="nil"/>
              <w:left w:val="nil"/>
              <w:bottom w:val="single" w:sz="4" w:space="0" w:color="auto"/>
              <w:right w:val="single" w:sz="4" w:space="0" w:color="auto"/>
            </w:tcBorders>
            <w:shd w:val="clear" w:color="auto" w:fill="auto"/>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 </w:t>
            </w:r>
          </w:p>
        </w:tc>
        <w:tc>
          <w:tcPr>
            <w:tcW w:w="1153"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 xml:space="preserve">    5,629,319.85 </w:t>
            </w:r>
          </w:p>
        </w:tc>
        <w:tc>
          <w:tcPr>
            <w:tcW w:w="1296" w:type="dxa"/>
            <w:tcBorders>
              <w:top w:val="nil"/>
              <w:left w:val="nil"/>
              <w:bottom w:val="single" w:sz="4" w:space="0" w:color="auto"/>
              <w:right w:val="single" w:sz="4" w:space="0" w:color="auto"/>
            </w:tcBorders>
            <w:shd w:val="clear" w:color="auto" w:fill="FFFFFF" w:themeFill="background1"/>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 xml:space="preserve">      </w:t>
            </w:r>
            <w:r w:rsidRPr="00DE5D97">
              <w:rPr>
                <w:rFonts w:ascii="Tahoma" w:hAnsi="Tahoma" w:cs="Tahoma"/>
                <w:b/>
                <w:bCs/>
                <w:color w:val="000000"/>
                <w:sz w:val="14"/>
                <w:szCs w:val="14"/>
                <w:shd w:val="clear" w:color="auto" w:fill="FFFFFF" w:themeFill="background1"/>
              </w:rPr>
              <w:t>4,395,075.28</w:t>
            </w:r>
          </w:p>
        </w:tc>
        <w:tc>
          <w:tcPr>
            <w:tcW w:w="2018"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100.00</w:t>
            </w:r>
          </w:p>
        </w:tc>
        <w:tc>
          <w:tcPr>
            <w:tcW w:w="1298"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Pr>
                <w:rFonts w:ascii="Tahoma" w:hAnsi="Tahoma" w:cs="Tahoma"/>
                <w:b/>
                <w:bCs/>
                <w:color w:val="000000"/>
                <w:sz w:val="14"/>
                <w:szCs w:val="14"/>
              </w:rPr>
              <w:t>78.07</w:t>
            </w:r>
          </w:p>
        </w:tc>
      </w:tr>
      <w:tr w:rsidR="005C4B97" w:rsidRPr="00C71DCC" w:rsidTr="004654FE">
        <w:trPr>
          <w:trHeight w:val="460"/>
        </w:trPr>
        <w:tc>
          <w:tcPr>
            <w:tcW w:w="478" w:type="dxa"/>
            <w:tcBorders>
              <w:top w:val="nil"/>
              <w:left w:val="single" w:sz="8" w:space="0" w:color="auto"/>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5</w:t>
            </w:r>
          </w:p>
        </w:tc>
        <w:tc>
          <w:tcPr>
            <w:tcW w:w="459"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5</w:t>
            </w:r>
          </w:p>
        </w:tc>
        <w:tc>
          <w:tcPr>
            <w:tcW w:w="1251" w:type="dxa"/>
            <w:tcBorders>
              <w:top w:val="single" w:sz="4" w:space="0" w:color="auto"/>
              <w:left w:val="nil"/>
              <w:bottom w:val="single" w:sz="4" w:space="0" w:color="auto"/>
              <w:right w:val="single" w:sz="4" w:space="0" w:color="000000"/>
            </w:tcBorders>
            <w:shd w:val="clear" w:color="auto" w:fill="auto"/>
            <w:vAlign w:val="center"/>
            <w:hideMark/>
          </w:tcPr>
          <w:p w:rsidR="005C4B97" w:rsidRPr="00C71DCC" w:rsidRDefault="005C4B97" w:rsidP="005C4B97">
            <w:pPr>
              <w:rPr>
                <w:rFonts w:ascii="Tahoma" w:hAnsi="Tahoma" w:cs="Tahoma"/>
                <w:b/>
                <w:bCs/>
                <w:sz w:val="14"/>
                <w:szCs w:val="14"/>
              </w:rPr>
            </w:pPr>
            <w:r w:rsidRPr="00C71DCC">
              <w:rPr>
                <w:rFonts w:ascii="Tahoma" w:hAnsi="Tahoma" w:cs="Tahoma"/>
                <w:b/>
                <w:bCs/>
                <w:sz w:val="14"/>
                <w:szCs w:val="14"/>
              </w:rPr>
              <w:t>CONSORCIO JAUREGUI</w:t>
            </w:r>
          </w:p>
        </w:tc>
        <w:tc>
          <w:tcPr>
            <w:tcW w:w="6963" w:type="dxa"/>
            <w:gridSpan w:val="5"/>
            <w:tcBorders>
              <w:top w:val="single" w:sz="4" w:space="0" w:color="auto"/>
              <w:left w:val="nil"/>
              <w:bottom w:val="single" w:sz="4" w:space="0" w:color="auto"/>
              <w:right w:val="single" w:sz="4" w:space="0" w:color="000000"/>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NO ADMITIDA</w:t>
            </w:r>
          </w:p>
        </w:tc>
      </w:tr>
      <w:tr w:rsidR="005C4B97" w:rsidRPr="00C71DCC" w:rsidTr="004654FE">
        <w:trPr>
          <w:trHeight w:val="460"/>
        </w:trPr>
        <w:tc>
          <w:tcPr>
            <w:tcW w:w="478" w:type="dxa"/>
            <w:tcBorders>
              <w:top w:val="nil"/>
              <w:left w:val="single" w:sz="8" w:space="0" w:color="auto"/>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6</w:t>
            </w:r>
          </w:p>
        </w:tc>
        <w:tc>
          <w:tcPr>
            <w:tcW w:w="459"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6</w:t>
            </w:r>
          </w:p>
        </w:tc>
        <w:tc>
          <w:tcPr>
            <w:tcW w:w="1251" w:type="dxa"/>
            <w:tcBorders>
              <w:top w:val="single" w:sz="4" w:space="0" w:color="auto"/>
              <w:left w:val="nil"/>
              <w:bottom w:val="single" w:sz="4" w:space="0" w:color="auto"/>
              <w:right w:val="single" w:sz="4" w:space="0" w:color="000000"/>
            </w:tcBorders>
            <w:shd w:val="clear" w:color="auto" w:fill="auto"/>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CONSORCIO G CORPORACION</w:t>
            </w:r>
          </w:p>
        </w:tc>
        <w:tc>
          <w:tcPr>
            <w:tcW w:w="6963" w:type="dxa"/>
            <w:gridSpan w:val="5"/>
            <w:tcBorders>
              <w:top w:val="single" w:sz="4" w:space="0" w:color="auto"/>
              <w:left w:val="nil"/>
              <w:bottom w:val="single" w:sz="4" w:space="0" w:color="auto"/>
              <w:right w:val="single" w:sz="4" w:space="0" w:color="000000"/>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NO ADMITIDA</w:t>
            </w:r>
          </w:p>
        </w:tc>
      </w:tr>
      <w:tr w:rsidR="005C4B97" w:rsidRPr="00C71DCC" w:rsidTr="004654FE">
        <w:trPr>
          <w:trHeight w:val="460"/>
        </w:trPr>
        <w:tc>
          <w:tcPr>
            <w:tcW w:w="478" w:type="dxa"/>
            <w:tcBorders>
              <w:top w:val="nil"/>
              <w:left w:val="single" w:sz="8" w:space="0" w:color="auto"/>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7</w:t>
            </w:r>
          </w:p>
        </w:tc>
        <w:tc>
          <w:tcPr>
            <w:tcW w:w="459" w:type="dxa"/>
            <w:tcBorders>
              <w:top w:val="nil"/>
              <w:left w:val="nil"/>
              <w:bottom w:val="single" w:sz="4" w:space="0" w:color="auto"/>
              <w:right w:val="single" w:sz="4" w:space="0" w:color="auto"/>
            </w:tcBorders>
            <w:shd w:val="clear" w:color="auto" w:fill="auto"/>
            <w:noWrap/>
            <w:vAlign w:val="center"/>
            <w:hideMark/>
          </w:tcPr>
          <w:p w:rsidR="005C4B97" w:rsidRPr="00C71DCC" w:rsidRDefault="005C4B97" w:rsidP="005C4B97">
            <w:pPr>
              <w:jc w:val="center"/>
              <w:rPr>
                <w:rFonts w:ascii="Tahoma" w:hAnsi="Tahoma" w:cs="Tahoma"/>
                <w:b/>
                <w:bCs/>
                <w:sz w:val="14"/>
                <w:szCs w:val="14"/>
              </w:rPr>
            </w:pPr>
            <w:r w:rsidRPr="00C71DCC">
              <w:rPr>
                <w:rFonts w:ascii="Tahoma" w:hAnsi="Tahoma" w:cs="Tahoma"/>
                <w:b/>
                <w:bCs/>
                <w:sz w:val="14"/>
                <w:szCs w:val="14"/>
              </w:rPr>
              <w:t>7</w:t>
            </w:r>
          </w:p>
        </w:tc>
        <w:tc>
          <w:tcPr>
            <w:tcW w:w="1251" w:type="dxa"/>
            <w:tcBorders>
              <w:top w:val="single" w:sz="4" w:space="0" w:color="auto"/>
              <w:left w:val="nil"/>
              <w:bottom w:val="single" w:sz="4" w:space="0" w:color="auto"/>
              <w:right w:val="single" w:sz="4" w:space="0" w:color="000000"/>
            </w:tcBorders>
            <w:shd w:val="clear" w:color="auto" w:fill="auto"/>
            <w:vAlign w:val="center"/>
            <w:hideMark/>
          </w:tcPr>
          <w:p w:rsidR="005C4B97" w:rsidRPr="00C71DCC" w:rsidRDefault="005C4B97" w:rsidP="005C4B97">
            <w:pPr>
              <w:rPr>
                <w:rFonts w:ascii="Tahoma" w:hAnsi="Tahoma" w:cs="Tahoma"/>
                <w:b/>
                <w:bCs/>
                <w:color w:val="000000"/>
                <w:sz w:val="14"/>
                <w:szCs w:val="14"/>
              </w:rPr>
            </w:pPr>
            <w:r w:rsidRPr="00C71DCC">
              <w:rPr>
                <w:rFonts w:ascii="Tahoma" w:hAnsi="Tahoma" w:cs="Tahoma"/>
                <w:b/>
                <w:bCs/>
                <w:color w:val="000000"/>
                <w:sz w:val="14"/>
                <w:szCs w:val="14"/>
              </w:rPr>
              <w:t>CONSORCIO PORVENIR</w:t>
            </w:r>
          </w:p>
        </w:tc>
        <w:tc>
          <w:tcPr>
            <w:tcW w:w="6963" w:type="dxa"/>
            <w:gridSpan w:val="5"/>
            <w:tcBorders>
              <w:top w:val="single" w:sz="4" w:space="0" w:color="auto"/>
              <w:left w:val="nil"/>
              <w:bottom w:val="single" w:sz="4" w:space="0" w:color="auto"/>
              <w:right w:val="single" w:sz="4" w:space="0" w:color="000000"/>
            </w:tcBorders>
            <w:shd w:val="clear" w:color="auto" w:fill="auto"/>
            <w:noWrap/>
            <w:vAlign w:val="center"/>
            <w:hideMark/>
          </w:tcPr>
          <w:p w:rsidR="005C4B97" w:rsidRPr="00C71DCC" w:rsidRDefault="005C4B97" w:rsidP="005C4B97">
            <w:pPr>
              <w:jc w:val="center"/>
              <w:rPr>
                <w:rFonts w:ascii="Tahoma" w:hAnsi="Tahoma" w:cs="Tahoma"/>
                <w:b/>
                <w:bCs/>
                <w:color w:val="000000"/>
                <w:sz w:val="14"/>
                <w:szCs w:val="14"/>
              </w:rPr>
            </w:pPr>
            <w:r w:rsidRPr="00C71DCC">
              <w:rPr>
                <w:rFonts w:ascii="Tahoma" w:hAnsi="Tahoma" w:cs="Tahoma"/>
                <w:b/>
                <w:bCs/>
                <w:color w:val="000000"/>
                <w:sz w:val="14"/>
                <w:szCs w:val="14"/>
              </w:rPr>
              <w:t>NO ADMITIDA</w:t>
            </w:r>
          </w:p>
        </w:tc>
      </w:tr>
    </w:tbl>
    <w:p w:rsidR="009A2DAA" w:rsidRDefault="009A2DAA"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p w:rsidR="00DE2198" w:rsidRDefault="00DE2198" w:rsidP="00B6275A">
      <w:pPr>
        <w:pStyle w:val="Prrafodelista"/>
        <w:rPr>
          <w:rFonts w:ascii="Tahoma" w:hAnsi="Tahoma" w:cs="Tahoma"/>
          <w:sz w:val="22"/>
          <w:szCs w:val="22"/>
        </w:rPr>
      </w:pPr>
    </w:p>
    <w:tbl>
      <w:tblPr>
        <w:tblpPr w:leftFromText="141" w:rightFromText="141" w:vertAnchor="text" w:horzAnchor="margin" w:tblpY="46"/>
        <w:tblW w:w="9001" w:type="dxa"/>
        <w:tblLayout w:type="fixed"/>
        <w:tblCellMar>
          <w:left w:w="70" w:type="dxa"/>
          <w:right w:w="70" w:type="dxa"/>
        </w:tblCellMar>
        <w:tblLook w:val="04A0"/>
      </w:tblPr>
      <w:tblGrid>
        <w:gridCol w:w="354"/>
        <w:gridCol w:w="425"/>
        <w:gridCol w:w="1276"/>
        <w:gridCol w:w="1134"/>
        <w:gridCol w:w="1134"/>
        <w:gridCol w:w="992"/>
        <w:gridCol w:w="709"/>
        <w:gridCol w:w="850"/>
        <w:gridCol w:w="1134"/>
        <w:gridCol w:w="993"/>
      </w:tblGrid>
      <w:tr w:rsidR="00B6275A" w:rsidRPr="003C68B1" w:rsidTr="005C4B97">
        <w:trPr>
          <w:trHeight w:val="300"/>
        </w:trPr>
        <w:tc>
          <w:tcPr>
            <w:tcW w:w="354" w:type="dxa"/>
            <w:vMerge w:val="restart"/>
            <w:tcBorders>
              <w:top w:val="single" w:sz="8" w:space="0" w:color="auto"/>
              <w:left w:val="nil"/>
              <w:bottom w:val="nil"/>
              <w:right w:val="nil"/>
            </w:tcBorders>
            <w:shd w:val="clear" w:color="000000" w:fill="000000"/>
            <w:noWrap/>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R.P.</w:t>
            </w:r>
          </w:p>
        </w:tc>
        <w:tc>
          <w:tcPr>
            <w:tcW w:w="425" w:type="dxa"/>
            <w:vMerge w:val="restart"/>
            <w:tcBorders>
              <w:top w:val="single" w:sz="8" w:space="0" w:color="auto"/>
              <w:left w:val="nil"/>
              <w:bottom w:val="nil"/>
              <w:right w:val="nil"/>
            </w:tcBorders>
            <w:shd w:val="clear" w:color="000000" w:fill="000000"/>
            <w:noWrap/>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 xml:space="preserve">Nº </w:t>
            </w:r>
          </w:p>
        </w:tc>
        <w:tc>
          <w:tcPr>
            <w:tcW w:w="1276" w:type="dxa"/>
            <w:vMerge w:val="restart"/>
            <w:tcBorders>
              <w:top w:val="single" w:sz="8" w:space="0" w:color="auto"/>
              <w:left w:val="single" w:sz="4" w:space="0" w:color="FFFFFF"/>
              <w:bottom w:val="single" w:sz="8" w:space="0" w:color="000000"/>
              <w:right w:val="single" w:sz="4" w:space="0" w:color="FFFFFF"/>
            </w:tcBorders>
            <w:shd w:val="clear" w:color="000000" w:fill="000000"/>
            <w:noWrap/>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POSTOR</w:t>
            </w:r>
          </w:p>
        </w:tc>
        <w:tc>
          <w:tcPr>
            <w:tcW w:w="1134" w:type="dxa"/>
            <w:tcBorders>
              <w:top w:val="single" w:sz="8" w:space="0" w:color="auto"/>
              <w:left w:val="nil"/>
              <w:bottom w:val="single" w:sz="4" w:space="0" w:color="FFFFFF"/>
              <w:right w:val="single" w:sz="4" w:space="0" w:color="FFFFFF"/>
            </w:tcBorders>
            <w:shd w:val="clear" w:color="000000" w:fill="000000"/>
            <w:noWrap/>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 xml:space="preserve">PTi  </w:t>
            </w:r>
          </w:p>
        </w:tc>
        <w:tc>
          <w:tcPr>
            <w:tcW w:w="1134" w:type="dxa"/>
            <w:tcBorders>
              <w:top w:val="single" w:sz="8" w:space="0" w:color="auto"/>
              <w:left w:val="nil"/>
              <w:bottom w:val="single" w:sz="4" w:space="0" w:color="FFFFFF"/>
              <w:right w:val="single" w:sz="4" w:space="0" w:color="FFFFFF"/>
            </w:tcBorders>
            <w:shd w:val="clear" w:color="000000" w:fill="000000"/>
            <w:noWrap/>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 xml:space="preserve">PEi  </w:t>
            </w:r>
          </w:p>
        </w:tc>
        <w:tc>
          <w:tcPr>
            <w:tcW w:w="992" w:type="dxa"/>
            <w:tcBorders>
              <w:top w:val="single" w:sz="8" w:space="0" w:color="auto"/>
              <w:left w:val="nil"/>
              <w:bottom w:val="single" w:sz="4" w:space="0" w:color="FFFFFF"/>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 xml:space="preserve">PTPi   </w:t>
            </w:r>
          </w:p>
        </w:tc>
        <w:tc>
          <w:tcPr>
            <w:tcW w:w="709" w:type="dxa"/>
            <w:vMerge w:val="restart"/>
            <w:tcBorders>
              <w:top w:val="single" w:sz="8" w:space="0" w:color="auto"/>
              <w:left w:val="single" w:sz="4" w:space="0" w:color="FFFFFF"/>
              <w:bottom w:val="single" w:sz="8" w:space="0" w:color="000000"/>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BONIFICACION 10%</w:t>
            </w:r>
          </w:p>
        </w:tc>
        <w:tc>
          <w:tcPr>
            <w:tcW w:w="850" w:type="dxa"/>
            <w:vMerge w:val="restart"/>
            <w:tcBorders>
              <w:top w:val="single" w:sz="8" w:space="0" w:color="auto"/>
              <w:left w:val="single" w:sz="4" w:space="0" w:color="FFFFFF"/>
              <w:bottom w:val="single" w:sz="8" w:space="0" w:color="000000"/>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BONIFICACION 20%</w:t>
            </w:r>
          </w:p>
        </w:tc>
        <w:tc>
          <w:tcPr>
            <w:tcW w:w="1134" w:type="dxa"/>
            <w:vMerge w:val="restart"/>
            <w:tcBorders>
              <w:top w:val="single" w:sz="8" w:space="0" w:color="auto"/>
              <w:left w:val="single" w:sz="4" w:space="0" w:color="FFFFFF"/>
              <w:bottom w:val="single" w:sz="8" w:space="0" w:color="000000"/>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PUNTAJE FINAL</w:t>
            </w:r>
          </w:p>
        </w:tc>
        <w:tc>
          <w:tcPr>
            <w:tcW w:w="993" w:type="dxa"/>
            <w:vMerge w:val="restart"/>
            <w:tcBorders>
              <w:top w:val="single" w:sz="8" w:space="0" w:color="auto"/>
              <w:left w:val="single" w:sz="4" w:space="0" w:color="FFFFFF"/>
              <w:bottom w:val="single" w:sz="8" w:space="0" w:color="000000"/>
              <w:right w:val="single" w:sz="8" w:space="0" w:color="auto"/>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ORDEN DE PREL.</w:t>
            </w:r>
          </w:p>
        </w:tc>
      </w:tr>
      <w:tr w:rsidR="00B6275A" w:rsidRPr="003C68B1" w:rsidTr="005C4B97">
        <w:trPr>
          <w:trHeight w:val="300"/>
        </w:trPr>
        <w:tc>
          <w:tcPr>
            <w:tcW w:w="354" w:type="dxa"/>
            <w:vMerge/>
            <w:tcBorders>
              <w:top w:val="single" w:sz="8" w:space="0" w:color="auto"/>
              <w:left w:val="nil"/>
              <w:bottom w:val="nil"/>
              <w:right w:val="nil"/>
            </w:tcBorders>
            <w:vAlign w:val="center"/>
            <w:hideMark/>
          </w:tcPr>
          <w:p w:rsidR="00B6275A" w:rsidRPr="003C68B1" w:rsidRDefault="00B6275A" w:rsidP="005C4B97">
            <w:pPr>
              <w:rPr>
                <w:rFonts w:ascii="Tahoma" w:hAnsi="Tahoma" w:cs="Tahoma"/>
                <w:b/>
                <w:bCs/>
                <w:color w:val="FFFFFF"/>
                <w:sz w:val="14"/>
                <w:szCs w:val="14"/>
              </w:rPr>
            </w:pPr>
          </w:p>
        </w:tc>
        <w:tc>
          <w:tcPr>
            <w:tcW w:w="425" w:type="dxa"/>
            <w:vMerge/>
            <w:tcBorders>
              <w:top w:val="single" w:sz="8" w:space="0" w:color="auto"/>
              <w:left w:val="nil"/>
              <w:bottom w:val="nil"/>
              <w:right w:val="nil"/>
            </w:tcBorders>
            <w:vAlign w:val="center"/>
            <w:hideMark/>
          </w:tcPr>
          <w:p w:rsidR="00B6275A" w:rsidRPr="003C68B1" w:rsidRDefault="00B6275A" w:rsidP="005C4B97">
            <w:pPr>
              <w:rPr>
                <w:rFonts w:ascii="Tahoma" w:hAnsi="Tahoma" w:cs="Tahoma"/>
                <w:b/>
                <w:bCs/>
                <w:color w:val="FFFFFF"/>
                <w:sz w:val="14"/>
                <w:szCs w:val="14"/>
              </w:rPr>
            </w:pPr>
          </w:p>
        </w:tc>
        <w:tc>
          <w:tcPr>
            <w:tcW w:w="1276"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val="restart"/>
            <w:tcBorders>
              <w:top w:val="nil"/>
              <w:left w:val="single" w:sz="4" w:space="0" w:color="FFFFFF"/>
              <w:bottom w:val="single" w:sz="8" w:space="0" w:color="000000"/>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PUNTAJE POR EVALUACION TECNICA</w:t>
            </w:r>
          </w:p>
        </w:tc>
        <w:tc>
          <w:tcPr>
            <w:tcW w:w="1134" w:type="dxa"/>
            <w:vMerge w:val="restart"/>
            <w:tcBorders>
              <w:top w:val="nil"/>
              <w:left w:val="single" w:sz="4" w:space="0" w:color="FFFFFF"/>
              <w:bottom w:val="single" w:sz="8" w:space="0" w:color="000000"/>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PUNTAJE POR EVALUACION ECONOMICA</w:t>
            </w:r>
          </w:p>
        </w:tc>
        <w:tc>
          <w:tcPr>
            <w:tcW w:w="992" w:type="dxa"/>
            <w:vMerge w:val="restart"/>
            <w:tcBorders>
              <w:top w:val="nil"/>
              <w:left w:val="single" w:sz="4" w:space="0" w:color="FFFFFF"/>
              <w:bottom w:val="single" w:sz="8" w:space="0" w:color="000000"/>
              <w:right w:val="single" w:sz="4" w:space="0" w:color="FFFFFF"/>
            </w:tcBorders>
            <w:shd w:val="clear" w:color="000000" w:fill="000000"/>
            <w:vAlign w:val="center"/>
            <w:hideMark/>
          </w:tcPr>
          <w:p w:rsidR="00B6275A" w:rsidRPr="003C68B1" w:rsidRDefault="00B6275A" w:rsidP="005C4B97">
            <w:pPr>
              <w:jc w:val="center"/>
              <w:rPr>
                <w:rFonts w:ascii="Tahoma" w:hAnsi="Tahoma" w:cs="Tahoma"/>
                <w:b/>
                <w:bCs/>
                <w:color w:val="FFFFFF"/>
                <w:sz w:val="14"/>
                <w:szCs w:val="14"/>
              </w:rPr>
            </w:pPr>
            <w:r w:rsidRPr="003C68B1">
              <w:rPr>
                <w:rFonts w:ascii="Tahoma" w:hAnsi="Tahoma" w:cs="Tahoma"/>
                <w:b/>
                <w:bCs/>
                <w:color w:val="FFFFFF"/>
                <w:sz w:val="14"/>
                <w:szCs w:val="14"/>
              </w:rPr>
              <w:t>PUNTAJE TOTAL</w:t>
            </w:r>
          </w:p>
        </w:tc>
        <w:tc>
          <w:tcPr>
            <w:tcW w:w="709"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850"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993" w:type="dxa"/>
            <w:vMerge/>
            <w:tcBorders>
              <w:top w:val="single" w:sz="8" w:space="0" w:color="auto"/>
              <w:left w:val="single" w:sz="4" w:space="0" w:color="FFFFFF"/>
              <w:bottom w:val="single" w:sz="8" w:space="0" w:color="000000"/>
              <w:right w:val="single" w:sz="8" w:space="0" w:color="auto"/>
            </w:tcBorders>
            <w:vAlign w:val="center"/>
            <w:hideMark/>
          </w:tcPr>
          <w:p w:rsidR="00B6275A" w:rsidRPr="003C68B1" w:rsidRDefault="00B6275A" w:rsidP="005C4B97">
            <w:pPr>
              <w:rPr>
                <w:rFonts w:ascii="Tahoma" w:hAnsi="Tahoma" w:cs="Tahoma"/>
                <w:b/>
                <w:bCs/>
                <w:color w:val="FFFFFF"/>
                <w:sz w:val="14"/>
                <w:szCs w:val="14"/>
              </w:rPr>
            </w:pPr>
          </w:p>
        </w:tc>
      </w:tr>
      <w:tr w:rsidR="00B6275A" w:rsidRPr="003C68B1" w:rsidTr="005C4B97">
        <w:trPr>
          <w:trHeight w:val="300"/>
        </w:trPr>
        <w:tc>
          <w:tcPr>
            <w:tcW w:w="354" w:type="dxa"/>
            <w:vMerge/>
            <w:tcBorders>
              <w:top w:val="single" w:sz="8" w:space="0" w:color="auto"/>
              <w:left w:val="nil"/>
              <w:bottom w:val="nil"/>
              <w:right w:val="nil"/>
            </w:tcBorders>
            <w:vAlign w:val="center"/>
            <w:hideMark/>
          </w:tcPr>
          <w:p w:rsidR="00B6275A" w:rsidRPr="003C68B1" w:rsidRDefault="00B6275A" w:rsidP="005C4B97">
            <w:pPr>
              <w:rPr>
                <w:rFonts w:ascii="Tahoma" w:hAnsi="Tahoma" w:cs="Tahoma"/>
                <w:b/>
                <w:bCs/>
                <w:color w:val="FFFFFF"/>
                <w:sz w:val="14"/>
                <w:szCs w:val="14"/>
              </w:rPr>
            </w:pPr>
          </w:p>
        </w:tc>
        <w:tc>
          <w:tcPr>
            <w:tcW w:w="425" w:type="dxa"/>
            <w:vMerge/>
            <w:tcBorders>
              <w:top w:val="single" w:sz="8" w:space="0" w:color="auto"/>
              <w:left w:val="nil"/>
              <w:bottom w:val="nil"/>
              <w:right w:val="nil"/>
            </w:tcBorders>
            <w:vAlign w:val="center"/>
            <w:hideMark/>
          </w:tcPr>
          <w:p w:rsidR="00B6275A" w:rsidRPr="003C68B1" w:rsidRDefault="00B6275A" w:rsidP="005C4B97">
            <w:pPr>
              <w:rPr>
                <w:rFonts w:ascii="Tahoma" w:hAnsi="Tahoma" w:cs="Tahoma"/>
                <w:b/>
                <w:bCs/>
                <w:color w:val="FFFFFF"/>
                <w:sz w:val="14"/>
                <w:szCs w:val="14"/>
              </w:rPr>
            </w:pPr>
          </w:p>
        </w:tc>
        <w:tc>
          <w:tcPr>
            <w:tcW w:w="1276"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nil"/>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nil"/>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992" w:type="dxa"/>
            <w:vMerge/>
            <w:tcBorders>
              <w:top w:val="nil"/>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709"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850"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993" w:type="dxa"/>
            <w:vMerge/>
            <w:tcBorders>
              <w:top w:val="single" w:sz="8" w:space="0" w:color="auto"/>
              <w:left w:val="single" w:sz="4" w:space="0" w:color="FFFFFF"/>
              <w:bottom w:val="single" w:sz="8" w:space="0" w:color="000000"/>
              <w:right w:val="single" w:sz="8" w:space="0" w:color="auto"/>
            </w:tcBorders>
            <w:vAlign w:val="center"/>
            <w:hideMark/>
          </w:tcPr>
          <w:p w:rsidR="00B6275A" w:rsidRPr="003C68B1" w:rsidRDefault="00B6275A" w:rsidP="005C4B97">
            <w:pPr>
              <w:rPr>
                <w:rFonts w:ascii="Tahoma" w:hAnsi="Tahoma" w:cs="Tahoma"/>
                <w:b/>
                <w:bCs/>
                <w:color w:val="FFFFFF"/>
                <w:sz w:val="14"/>
                <w:szCs w:val="14"/>
              </w:rPr>
            </w:pPr>
          </w:p>
        </w:tc>
      </w:tr>
      <w:tr w:rsidR="00B6275A" w:rsidRPr="003C68B1" w:rsidTr="005C4B97">
        <w:trPr>
          <w:trHeight w:val="315"/>
        </w:trPr>
        <w:tc>
          <w:tcPr>
            <w:tcW w:w="354" w:type="dxa"/>
            <w:vMerge/>
            <w:tcBorders>
              <w:top w:val="single" w:sz="8" w:space="0" w:color="auto"/>
              <w:left w:val="nil"/>
              <w:bottom w:val="nil"/>
              <w:right w:val="nil"/>
            </w:tcBorders>
            <w:vAlign w:val="center"/>
            <w:hideMark/>
          </w:tcPr>
          <w:p w:rsidR="00B6275A" w:rsidRPr="003C68B1" w:rsidRDefault="00B6275A" w:rsidP="005C4B97">
            <w:pPr>
              <w:rPr>
                <w:rFonts w:ascii="Tahoma" w:hAnsi="Tahoma" w:cs="Tahoma"/>
                <w:b/>
                <w:bCs/>
                <w:color w:val="FFFFFF"/>
                <w:sz w:val="14"/>
                <w:szCs w:val="14"/>
              </w:rPr>
            </w:pPr>
          </w:p>
        </w:tc>
        <w:tc>
          <w:tcPr>
            <w:tcW w:w="425" w:type="dxa"/>
            <w:vMerge/>
            <w:tcBorders>
              <w:top w:val="single" w:sz="8" w:space="0" w:color="auto"/>
              <w:left w:val="nil"/>
              <w:bottom w:val="nil"/>
              <w:right w:val="nil"/>
            </w:tcBorders>
            <w:vAlign w:val="center"/>
            <w:hideMark/>
          </w:tcPr>
          <w:p w:rsidR="00B6275A" w:rsidRPr="003C68B1" w:rsidRDefault="00B6275A" w:rsidP="005C4B97">
            <w:pPr>
              <w:rPr>
                <w:rFonts w:ascii="Tahoma" w:hAnsi="Tahoma" w:cs="Tahoma"/>
                <w:b/>
                <w:bCs/>
                <w:color w:val="FFFFFF"/>
                <w:sz w:val="14"/>
                <w:szCs w:val="14"/>
              </w:rPr>
            </w:pPr>
          </w:p>
        </w:tc>
        <w:tc>
          <w:tcPr>
            <w:tcW w:w="1276"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nil"/>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nil"/>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992" w:type="dxa"/>
            <w:vMerge/>
            <w:tcBorders>
              <w:top w:val="nil"/>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709"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850"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1134" w:type="dxa"/>
            <w:vMerge/>
            <w:tcBorders>
              <w:top w:val="single" w:sz="8" w:space="0" w:color="auto"/>
              <w:left w:val="single" w:sz="4" w:space="0" w:color="FFFFFF"/>
              <w:bottom w:val="single" w:sz="8" w:space="0" w:color="000000"/>
              <w:right w:val="single" w:sz="4" w:space="0" w:color="FFFFFF"/>
            </w:tcBorders>
            <w:vAlign w:val="center"/>
            <w:hideMark/>
          </w:tcPr>
          <w:p w:rsidR="00B6275A" w:rsidRPr="003C68B1" w:rsidRDefault="00B6275A" w:rsidP="005C4B97">
            <w:pPr>
              <w:rPr>
                <w:rFonts w:ascii="Tahoma" w:hAnsi="Tahoma" w:cs="Tahoma"/>
                <w:b/>
                <w:bCs/>
                <w:color w:val="FFFFFF"/>
                <w:sz w:val="14"/>
                <w:szCs w:val="14"/>
              </w:rPr>
            </w:pPr>
          </w:p>
        </w:tc>
        <w:tc>
          <w:tcPr>
            <w:tcW w:w="993" w:type="dxa"/>
            <w:vMerge/>
            <w:tcBorders>
              <w:top w:val="single" w:sz="8" w:space="0" w:color="auto"/>
              <w:left w:val="single" w:sz="4" w:space="0" w:color="FFFFFF"/>
              <w:bottom w:val="single" w:sz="8" w:space="0" w:color="000000"/>
              <w:right w:val="single" w:sz="8" w:space="0" w:color="auto"/>
            </w:tcBorders>
            <w:vAlign w:val="center"/>
            <w:hideMark/>
          </w:tcPr>
          <w:p w:rsidR="00B6275A" w:rsidRPr="003C68B1" w:rsidRDefault="00B6275A" w:rsidP="005C4B97">
            <w:pPr>
              <w:rPr>
                <w:rFonts w:ascii="Tahoma" w:hAnsi="Tahoma" w:cs="Tahoma"/>
                <w:b/>
                <w:bCs/>
                <w:color w:val="FFFFFF"/>
                <w:sz w:val="14"/>
                <w:szCs w:val="14"/>
              </w:rPr>
            </w:pPr>
          </w:p>
        </w:tc>
      </w:tr>
      <w:tr w:rsidR="00B6275A" w:rsidRPr="003C68B1" w:rsidTr="005C4B97">
        <w:trPr>
          <w:trHeight w:val="405"/>
        </w:trPr>
        <w:tc>
          <w:tcPr>
            <w:tcW w:w="35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1</w:t>
            </w:r>
          </w:p>
        </w:tc>
        <w:tc>
          <w:tcPr>
            <w:tcW w:w="425"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1</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CONSORCIO PARAISO</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B6275A" w:rsidRPr="003C68B1" w:rsidRDefault="00B6275A" w:rsidP="005C4B97">
            <w:pPr>
              <w:jc w:val="center"/>
              <w:rPr>
                <w:rFonts w:ascii="Tahoma" w:hAnsi="Tahoma" w:cs="Tahoma"/>
                <w:b/>
                <w:bCs/>
                <w:color w:val="000000"/>
                <w:sz w:val="14"/>
                <w:szCs w:val="14"/>
              </w:rPr>
            </w:pPr>
            <w:r w:rsidRPr="003C68B1">
              <w:rPr>
                <w:rFonts w:ascii="Tahoma" w:hAnsi="Tahoma" w:cs="Tahoma"/>
                <w:b/>
                <w:bCs/>
                <w:color w:val="000000"/>
                <w:sz w:val="14"/>
                <w:szCs w:val="14"/>
              </w:rPr>
              <w:t>96.00</w:t>
            </w:r>
          </w:p>
        </w:tc>
        <w:tc>
          <w:tcPr>
            <w:tcW w:w="1134"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b/>
                <w:bCs/>
                <w:color w:val="000000"/>
                <w:sz w:val="14"/>
                <w:szCs w:val="14"/>
              </w:rPr>
              <w:t>84.91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92.67</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92.67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4</w:t>
            </w:r>
          </w:p>
        </w:tc>
      </w:tr>
      <w:tr w:rsidR="00B6275A" w:rsidRPr="003C68B1" w:rsidTr="005C4B97">
        <w:trPr>
          <w:trHeight w:val="435"/>
        </w:trPr>
        <w:tc>
          <w:tcPr>
            <w:tcW w:w="354"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2</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2</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CONSORCIO BAJO HUALLAGA</w:t>
            </w:r>
          </w:p>
        </w:tc>
        <w:tc>
          <w:tcPr>
            <w:tcW w:w="1134" w:type="dxa"/>
            <w:tcBorders>
              <w:top w:val="nil"/>
              <w:left w:val="nil"/>
              <w:bottom w:val="single" w:sz="4" w:space="0" w:color="auto"/>
              <w:right w:val="single" w:sz="4" w:space="0" w:color="auto"/>
            </w:tcBorders>
            <w:shd w:val="clear" w:color="auto" w:fill="auto"/>
            <w:vAlign w:val="center"/>
            <w:hideMark/>
          </w:tcPr>
          <w:p w:rsidR="00B6275A" w:rsidRPr="003C68B1" w:rsidRDefault="00B6275A" w:rsidP="005C4B97">
            <w:pPr>
              <w:jc w:val="center"/>
              <w:rPr>
                <w:rFonts w:ascii="Tahoma" w:hAnsi="Tahoma" w:cs="Tahoma"/>
                <w:b/>
                <w:bCs/>
                <w:color w:val="000000"/>
                <w:sz w:val="14"/>
                <w:szCs w:val="14"/>
              </w:rPr>
            </w:pPr>
            <w:r w:rsidRPr="003C68B1">
              <w:rPr>
                <w:rFonts w:ascii="Tahoma" w:hAnsi="Tahoma" w:cs="Tahoma"/>
                <w:b/>
                <w:bCs/>
                <w:color w:val="000000"/>
                <w:sz w:val="14"/>
                <w:szCs w:val="14"/>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b/>
                <w:bCs/>
                <w:color w:val="000000"/>
                <w:sz w:val="14"/>
                <w:szCs w:val="14"/>
              </w:rPr>
              <w:t>85.71</w:t>
            </w:r>
          </w:p>
        </w:tc>
        <w:tc>
          <w:tcPr>
            <w:tcW w:w="992"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95.71</w:t>
            </w:r>
          </w:p>
        </w:tc>
        <w:tc>
          <w:tcPr>
            <w:tcW w:w="709"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 </w:t>
            </w:r>
          </w:p>
        </w:tc>
        <w:tc>
          <w:tcPr>
            <w:tcW w:w="850"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95.71</w:t>
            </w:r>
          </w:p>
        </w:tc>
        <w:tc>
          <w:tcPr>
            <w:tcW w:w="993"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2</w:t>
            </w:r>
          </w:p>
        </w:tc>
      </w:tr>
      <w:tr w:rsidR="00B6275A" w:rsidRPr="003C68B1" w:rsidTr="005C4B97">
        <w:trPr>
          <w:trHeight w:val="435"/>
        </w:trPr>
        <w:tc>
          <w:tcPr>
            <w:tcW w:w="354"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3</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3</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CONSORCIO RIO MAYO</w:t>
            </w:r>
          </w:p>
        </w:tc>
        <w:tc>
          <w:tcPr>
            <w:tcW w:w="1134" w:type="dxa"/>
            <w:tcBorders>
              <w:top w:val="nil"/>
              <w:left w:val="nil"/>
              <w:bottom w:val="single" w:sz="4" w:space="0" w:color="auto"/>
              <w:right w:val="single" w:sz="4" w:space="0" w:color="auto"/>
            </w:tcBorders>
            <w:shd w:val="clear" w:color="auto" w:fill="auto"/>
            <w:vAlign w:val="center"/>
            <w:hideMark/>
          </w:tcPr>
          <w:p w:rsidR="00B6275A" w:rsidRPr="003C68B1" w:rsidRDefault="00B6275A" w:rsidP="005C4B97">
            <w:pPr>
              <w:jc w:val="center"/>
              <w:rPr>
                <w:rFonts w:ascii="Tahoma" w:hAnsi="Tahoma" w:cs="Tahoma"/>
                <w:b/>
                <w:bCs/>
                <w:color w:val="000000"/>
                <w:sz w:val="14"/>
                <w:szCs w:val="14"/>
              </w:rPr>
            </w:pPr>
            <w:r w:rsidRPr="003C68B1">
              <w:rPr>
                <w:rFonts w:ascii="Tahoma" w:hAnsi="Tahoma" w:cs="Tahoma"/>
                <w:b/>
                <w:bCs/>
                <w:color w:val="000000"/>
                <w:sz w:val="14"/>
                <w:szCs w:val="14"/>
              </w:rPr>
              <w:t>96.00</w:t>
            </w:r>
          </w:p>
        </w:tc>
        <w:tc>
          <w:tcPr>
            <w:tcW w:w="1134" w:type="dxa"/>
            <w:tcBorders>
              <w:top w:val="single" w:sz="4" w:space="0" w:color="auto"/>
              <w:left w:val="nil"/>
              <w:bottom w:val="single" w:sz="4" w:space="0" w:color="auto"/>
              <w:right w:val="single" w:sz="4" w:space="0" w:color="000000"/>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b/>
                <w:bCs/>
                <w:color w:val="000000"/>
                <w:sz w:val="14"/>
                <w:szCs w:val="14"/>
              </w:rPr>
              <w:t>100.00</w:t>
            </w:r>
          </w:p>
        </w:tc>
        <w:tc>
          <w:tcPr>
            <w:tcW w:w="992" w:type="dxa"/>
            <w:tcBorders>
              <w:top w:val="single" w:sz="4" w:space="0" w:color="auto"/>
              <w:left w:val="nil"/>
              <w:bottom w:val="single" w:sz="4" w:space="0" w:color="auto"/>
              <w:right w:val="single" w:sz="4" w:space="0" w:color="000000"/>
            </w:tcBorders>
            <w:shd w:val="clear" w:color="auto" w:fill="auto"/>
            <w:vAlign w:val="center"/>
          </w:tcPr>
          <w:p w:rsidR="00B6275A" w:rsidRPr="003C68B1" w:rsidRDefault="00B6275A" w:rsidP="005C4B97">
            <w:pPr>
              <w:jc w:val="center"/>
              <w:rPr>
                <w:rFonts w:ascii="Tahoma" w:hAnsi="Tahoma" w:cs="Tahoma"/>
                <w:sz w:val="14"/>
                <w:szCs w:val="14"/>
              </w:rPr>
            </w:pPr>
            <w:r>
              <w:rPr>
                <w:rFonts w:ascii="Tahoma" w:hAnsi="Tahoma" w:cs="Tahoma"/>
                <w:sz w:val="14"/>
                <w:szCs w:val="14"/>
              </w:rPr>
              <w:t>97.2</w:t>
            </w:r>
          </w:p>
        </w:tc>
        <w:tc>
          <w:tcPr>
            <w:tcW w:w="709" w:type="dxa"/>
            <w:tcBorders>
              <w:top w:val="single" w:sz="4" w:space="0" w:color="auto"/>
              <w:left w:val="nil"/>
              <w:bottom w:val="single" w:sz="4" w:space="0" w:color="auto"/>
              <w:right w:val="single" w:sz="4" w:space="0" w:color="000000"/>
            </w:tcBorders>
            <w:shd w:val="clear" w:color="auto" w:fill="auto"/>
            <w:vAlign w:val="center"/>
          </w:tcPr>
          <w:p w:rsidR="00B6275A" w:rsidRPr="003C68B1" w:rsidRDefault="00B6275A" w:rsidP="005C4B97">
            <w:pPr>
              <w:jc w:val="center"/>
              <w:rPr>
                <w:rFonts w:ascii="Tahoma" w:hAnsi="Tahoma" w:cs="Tahoma"/>
                <w:sz w:val="14"/>
                <w:szCs w:val="14"/>
              </w:rPr>
            </w:pPr>
          </w:p>
        </w:tc>
        <w:tc>
          <w:tcPr>
            <w:tcW w:w="850" w:type="dxa"/>
            <w:tcBorders>
              <w:top w:val="single" w:sz="4" w:space="0" w:color="auto"/>
              <w:left w:val="nil"/>
              <w:bottom w:val="single" w:sz="4" w:space="0" w:color="auto"/>
              <w:right w:val="single" w:sz="4" w:space="0" w:color="000000"/>
            </w:tcBorders>
            <w:shd w:val="clear" w:color="auto" w:fill="auto"/>
            <w:vAlign w:val="center"/>
          </w:tcPr>
          <w:p w:rsidR="00B6275A" w:rsidRPr="003C68B1" w:rsidRDefault="00B6275A" w:rsidP="005C4B97">
            <w:pPr>
              <w:jc w:val="center"/>
              <w:rPr>
                <w:rFonts w:ascii="Tahoma" w:hAnsi="Tahoma" w:cs="Tahoma"/>
                <w:sz w:val="14"/>
                <w:szCs w:val="14"/>
              </w:rPr>
            </w:pPr>
          </w:p>
        </w:tc>
        <w:tc>
          <w:tcPr>
            <w:tcW w:w="1134" w:type="dxa"/>
            <w:tcBorders>
              <w:top w:val="single" w:sz="4" w:space="0" w:color="auto"/>
              <w:left w:val="nil"/>
              <w:bottom w:val="single" w:sz="4" w:space="0" w:color="auto"/>
              <w:right w:val="single" w:sz="4" w:space="0" w:color="000000"/>
            </w:tcBorders>
            <w:shd w:val="clear" w:color="auto" w:fill="auto"/>
            <w:vAlign w:val="center"/>
          </w:tcPr>
          <w:p w:rsidR="00B6275A" w:rsidRPr="003C68B1" w:rsidRDefault="00B6275A" w:rsidP="005C4B97">
            <w:pPr>
              <w:jc w:val="center"/>
              <w:rPr>
                <w:rFonts w:ascii="Tahoma" w:hAnsi="Tahoma" w:cs="Tahoma"/>
                <w:sz w:val="14"/>
                <w:szCs w:val="14"/>
              </w:rPr>
            </w:pPr>
            <w:r>
              <w:rPr>
                <w:rFonts w:ascii="Tahoma" w:hAnsi="Tahoma" w:cs="Tahoma"/>
                <w:sz w:val="14"/>
                <w:szCs w:val="14"/>
              </w:rPr>
              <w:t>97.2</w:t>
            </w:r>
          </w:p>
        </w:tc>
        <w:tc>
          <w:tcPr>
            <w:tcW w:w="993" w:type="dxa"/>
            <w:tcBorders>
              <w:top w:val="single" w:sz="4" w:space="0" w:color="auto"/>
              <w:left w:val="nil"/>
              <w:bottom w:val="single" w:sz="4" w:space="0" w:color="auto"/>
              <w:right w:val="single" w:sz="4" w:space="0" w:color="000000"/>
            </w:tcBorders>
            <w:shd w:val="clear" w:color="auto" w:fill="auto"/>
            <w:vAlign w:val="center"/>
          </w:tcPr>
          <w:p w:rsidR="00B6275A" w:rsidRPr="003C68B1" w:rsidRDefault="00B6275A" w:rsidP="005C4B97">
            <w:pPr>
              <w:jc w:val="center"/>
              <w:rPr>
                <w:rFonts w:ascii="Tahoma" w:hAnsi="Tahoma" w:cs="Tahoma"/>
                <w:sz w:val="14"/>
                <w:szCs w:val="14"/>
              </w:rPr>
            </w:pPr>
            <w:r>
              <w:rPr>
                <w:rFonts w:ascii="Tahoma" w:hAnsi="Tahoma" w:cs="Tahoma"/>
                <w:sz w:val="14"/>
                <w:szCs w:val="14"/>
              </w:rPr>
              <w:t>1</w:t>
            </w:r>
          </w:p>
        </w:tc>
      </w:tr>
      <w:tr w:rsidR="00B6275A" w:rsidRPr="003C68B1" w:rsidTr="005C4B97">
        <w:trPr>
          <w:trHeight w:val="420"/>
        </w:trPr>
        <w:tc>
          <w:tcPr>
            <w:tcW w:w="354"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4</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4</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CONSORCIO YURIMAGUAS 1</w:t>
            </w:r>
          </w:p>
        </w:tc>
        <w:tc>
          <w:tcPr>
            <w:tcW w:w="1134" w:type="dxa"/>
            <w:tcBorders>
              <w:top w:val="nil"/>
              <w:left w:val="nil"/>
              <w:bottom w:val="single" w:sz="4" w:space="0" w:color="auto"/>
              <w:right w:val="single" w:sz="4" w:space="0" w:color="auto"/>
            </w:tcBorders>
            <w:shd w:val="clear" w:color="auto" w:fill="auto"/>
            <w:vAlign w:val="center"/>
            <w:hideMark/>
          </w:tcPr>
          <w:p w:rsidR="00B6275A" w:rsidRPr="003C68B1" w:rsidRDefault="00B6275A" w:rsidP="005C4B97">
            <w:pPr>
              <w:jc w:val="center"/>
              <w:rPr>
                <w:rFonts w:ascii="Tahoma" w:hAnsi="Tahoma" w:cs="Tahoma"/>
                <w:b/>
                <w:bCs/>
                <w:color w:val="000000"/>
                <w:sz w:val="14"/>
                <w:szCs w:val="14"/>
              </w:rPr>
            </w:pPr>
            <w:r w:rsidRPr="003C68B1">
              <w:rPr>
                <w:rFonts w:ascii="Tahoma" w:hAnsi="Tahoma" w:cs="Tahoma"/>
                <w:b/>
                <w:bCs/>
                <w:color w:val="000000"/>
                <w:sz w:val="14"/>
                <w:szCs w:val="14"/>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b/>
                <w:bCs/>
                <w:color w:val="000000"/>
                <w:sz w:val="14"/>
                <w:szCs w:val="14"/>
              </w:rPr>
              <w:t>78.07</w:t>
            </w:r>
          </w:p>
        </w:tc>
        <w:tc>
          <w:tcPr>
            <w:tcW w:w="992"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93.61</w:t>
            </w:r>
          </w:p>
        </w:tc>
        <w:tc>
          <w:tcPr>
            <w:tcW w:w="709"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 </w:t>
            </w:r>
          </w:p>
        </w:tc>
        <w:tc>
          <w:tcPr>
            <w:tcW w:w="850"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93.61</w:t>
            </w:r>
          </w:p>
        </w:tc>
        <w:tc>
          <w:tcPr>
            <w:tcW w:w="993"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Pr>
                <w:rFonts w:ascii="Tahoma" w:hAnsi="Tahoma" w:cs="Tahoma"/>
                <w:sz w:val="14"/>
                <w:szCs w:val="14"/>
              </w:rPr>
              <w:t>3</w:t>
            </w:r>
          </w:p>
        </w:tc>
      </w:tr>
      <w:tr w:rsidR="00B6275A" w:rsidRPr="003C68B1" w:rsidTr="005C4B97">
        <w:trPr>
          <w:trHeight w:val="435"/>
        </w:trPr>
        <w:tc>
          <w:tcPr>
            <w:tcW w:w="354"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5</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5</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CONSORCIO JAUREGUI</w:t>
            </w:r>
          </w:p>
        </w:tc>
        <w:tc>
          <w:tcPr>
            <w:tcW w:w="1134" w:type="dxa"/>
            <w:tcBorders>
              <w:top w:val="nil"/>
              <w:left w:val="nil"/>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NO ADMITIDA</w:t>
            </w:r>
          </w:p>
        </w:tc>
        <w:tc>
          <w:tcPr>
            <w:tcW w:w="581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NO ADMITIDA</w:t>
            </w:r>
          </w:p>
        </w:tc>
      </w:tr>
      <w:tr w:rsidR="00B6275A" w:rsidRPr="003C68B1" w:rsidTr="005C4B97">
        <w:trPr>
          <w:trHeight w:val="465"/>
        </w:trPr>
        <w:tc>
          <w:tcPr>
            <w:tcW w:w="354"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6</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6</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 xml:space="preserve">CONSORCIO G CORPORACION </w:t>
            </w:r>
          </w:p>
        </w:tc>
        <w:tc>
          <w:tcPr>
            <w:tcW w:w="1134" w:type="dxa"/>
            <w:tcBorders>
              <w:top w:val="nil"/>
              <w:left w:val="nil"/>
              <w:bottom w:val="single" w:sz="4" w:space="0" w:color="auto"/>
              <w:right w:val="single" w:sz="4" w:space="0" w:color="auto"/>
            </w:tcBorders>
            <w:shd w:val="clear" w:color="auto" w:fill="auto"/>
            <w:vAlign w:val="center"/>
            <w:hideMark/>
          </w:tcPr>
          <w:p w:rsidR="00B6275A" w:rsidRPr="003C68B1" w:rsidRDefault="00B6275A" w:rsidP="005C4B97">
            <w:pPr>
              <w:jc w:val="center"/>
              <w:rPr>
                <w:rFonts w:ascii="Tahoma" w:hAnsi="Tahoma" w:cs="Tahoma"/>
                <w:b/>
                <w:bCs/>
                <w:color w:val="000000"/>
                <w:sz w:val="14"/>
                <w:szCs w:val="14"/>
              </w:rPr>
            </w:pPr>
            <w:r w:rsidRPr="003C68B1">
              <w:rPr>
                <w:rFonts w:ascii="Tahoma" w:hAnsi="Tahoma" w:cs="Tahoma"/>
                <w:b/>
                <w:bCs/>
                <w:color w:val="000000"/>
                <w:sz w:val="14"/>
                <w:szCs w:val="14"/>
              </w:rPr>
              <w:t>88.00</w:t>
            </w:r>
          </w:p>
        </w:tc>
        <w:tc>
          <w:tcPr>
            <w:tcW w:w="581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NO ADMITIDA</w:t>
            </w:r>
          </w:p>
        </w:tc>
      </w:tr>
      <w:tr w:rsidR="00B6275A" w:rsidRPr="003C68B1" w:rsidTr="005C4B97">
        <w:trPr>
          <w:trHeight w:val="405"/>
        </w:trPr>
        <w:tc>
          <w:tcPr>
            <w:tcW w:w="354"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7</w:t>
            </w:r>
          </w:p>
        </w:tc>
        <w:tc>
          <w:tcPr>
            <w:tcW w:w="425" w:type="dxa"/>
            <w:tcBorders>
              <w:top w:val="nil"/>
              <w:left w:val="single" w:sz="8" w:space="0" w:color="auto"/>
              <w:bottom w:val="single" w:sz="4" w:space="0" w:color="auto"/>
              <w:right w:val="single" w:sz="4" w:space="0" w:color="auto"/>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7</w:t>
            </w:r>
          </w:p>
        </w:tc>
        <w:tc>
          <w:tcPr>
            <w:tcW w:w="1276" w:type="dxa"/>
            <w:tcBorders>
              <w:top w:val="single" w:sz="4" w:space="0" w:color="auto"/>
              <w:left w:val="nil"/>
              <w:bottom w:val="single" w:sz="4" w:space="0" w:color="auto"/>
              <w:right w:val="single" w:sz="4" w:space="0" w:color="000000"/>
            </w:tcBorders>
            <w:shd w:val="clear" w:color="auto" w:fill="auto"/>
            <w:vAlign w:val="center"/>
            <w:hideMark/>
          </w:tcPr>
          <w:p w:rsidR="00B6275A" w:rsidRPr="003C68B1" w:rsidRDefault="00B6275A" w:rsidP="005C4B97">
            <w:pPr>
              <w:rPr>
                <w:rFonts w:ascii="Tahoma" w:hAnsi="Tahoma" w:cs="Tahoma"/>
                <w:sz w:val="14"/>
                <w:szCs w:val="14"/>
              </w:rPr>
            </w:pPr>
            <w:r w:rsidRPr="003C68B1">
              <w:rPr>
                <w:rFonts w:ascii="Tahoma" w:hAnsi="Tahoma" w:cs="Tahoma"/>
                <w:sz w:val="14"/>
                <w:szCs w:val="14"/>
              </w:rPr>
              <w:t>CONSORCIO PORVENIR</w:t>
            </w:r>
          </w:p>
        </w:tc>
        <w:tc>
          <w:tcPr>
            <w:tcW w:w="1134" w:type="dxa"/>
            <w:tcBorders>
              <w:top w:val="nil"/>
              <w:left w:val="nil"/>
              <w:bottom w:val="single" w:sz="4" w:space="0" w:color="auto"/>
              <w:right w:val="single" w:sz="4" w:space="0" w:color="auto"/>
            </w:tcBorders>
            <w:shd w:val="clear" w:color="auto" w:fill="auto"/>
            <w:vAlign w:val="center"/>
            <w:hideMark/>
          </w:tcPr>
          <w:p w:rsidR="00B6275A" w:rsidRPr="003C68B1" w:rsidRDefault="00B6275A" w:rsidP="005C4B97">
            <w:pPr>
              <w:jc w:val="center"/>
              <w:rPr>
                <w:rFonts w:ascii="Tahoma" w:hAnsi="Tahoma" w:cs="Tahoma"/>
                <w:b/>
                <w:bCs/>
                <w:color w:val="000000"/>
                <w:sz w:val="14"/>
                <w:szCs w:val="14"/>
              </w:rPr>
            </w:pPr>
            <w:r w:rsidRPr="003C68B1">
              <w:rPr>
                <w:rFonts w:ascii="Tahoma" w:hAnsi="Tahoma" w:cs="Tahoma"/>
                <w:b/>
                <w:bCs/>
                <w:color w:val="000000"/>
                <w:sz w:val="14"/>
                <w:szCs w:val="14"/>
              </w:rPr>
              <w:t>100.00</w:t>
            </w:r>
          </w:p>
        </w:tc>
        <w:tc>
          <w:tcPr>
            <w:tcW w:w="5812" w:type="dxa"/>
            <w:gridSpan w:val="6"/>
            <w:tcBorders>
              <w:top w:val="single" w:sz="4" w:space="0" w:color="auto"/>
              <w:left w:val="nil"/>
              <w:bottom w:val="single" w:sz="4" w:space="0" w:color="auto"/>
              <w:right w:val="single" w:sz="4" w:space="0" w:color="000000"/>
            </w:tcBorders>
            <w:shd w:val="clear" w:color="auto" w:fill="auto"/>
            <w:noWrap/>
            <w:vAlign w:val="center"/>
            <w:hideMark/>
          </w:tcPr>
          <w:p w:rsidR="00B6275A" w:rsidRPr="003C68B1" w:rsidRDefault="00B6275A" w:rsidP="005C4B97">
            <w:pPr>
              <w:jc w:val="center"/>
              <w:rPr>
                <w:rFonts w:ascii="Tahoma" w:hAnsi="Tahoma" w:cs="Tahoma"/>
                <w:sz w:val="14"/>
                <w:szCs w:val="14"/>
              </w:rPr>
            </w:pPr>
            <w:r w:rsidRPr="003C68B1">
              <w:rPr>
                <w:rFonts w:ascii="Tahoma" w:hAnsi="Tahoma" w:cs="Tahoma"/>
                <w:sz w:val="14"/>
                <w:szCs w:val="14"/>
              </w:rPr>
              <w:t>NO ADMITIDA</w:t>
            </w:r>
          </w:p>
        </w:tc>
      </w:tr>
    </w:tbl>
    <w:p w:rsidR="003760CA" w:rsidRDefault="003760CA" w:rsidP="00B6275A">
      <w:pPr>
        <w:pStyle w:val="Prrafodelista"/>
        <w:ind w:left="426"/>
        <w:jc w:val="both"/>
        <w:rPr>
          <w:rFonts w:ascii="Tahoma" w:hAnsi="Tahoma" w:cs="Tahoma"/>
          <w:sz w:val="22"/>
          <w:szCs w:val="22"/>
        </w:rPr>
      </w:pPr>
    </w:p>
    <w:p w:rsidR="00B6275A" w:rsidRPr="005C4B97" w:rsidRDefault="00B6275A" w:rsidP="005C4B97">
      <w:pPr>
        <w:pStyle w:val="Prrafodelista"/>
        <w:numPr>
          <w:ilvl w:val="0"/>
          <w:numId w:val="1"/>
        </w:numPr>
        <w:tabs>
          <w:tab w:val="left" w:pos="426"/>
        </w:tabs>
        <w:autoSpaceDE w:val="0"/>
        <w:autoSpaceDN w:val="0"/>
        <w:adjustRightInd w:val="0"/>
        <w:ind w:left="426" w:hanging="426"/>
        <w:jc w:val="both"/>
        <w:rPr>
          <w:rFonts w:ascii="Tahoma" w:hAnsi="Tahoma" w:cs="Tahoma"/>
          <w:b/>
          <w:sz w:val="22"/>
          <w:szCs w:val="22"/>
          <w:u w:val="single"/>
        </w:rPr>
      </w:pPr>
      <w:r w:rsidRPr="005C4B97">
        <w:rPr>
          <w:rFonts w:ascii="Tahoma" w:hAnsi="Tahoma" w:cs="Tahoma"/>
          <w:sz w:val="22"/>
          <w:szCs w:val="22"/>
        </w:rPr>
        <w:t>Sin perjuicio de lo mencionado cabe poner en conocimiento del Órgano de Control Interno de la Entidad y de la Contraloría General de la República los hechos expuestos.</w:t>
      </w:r>
    </w:p>
    <w:p w:rsidR="00B6275A" w:rsidRPr="004929CB" w:rsidRDefault="00B6275A" w:rsidP="00B6275A">
      <w:pPr>
        <w:pStyle w:val="Sangradetextonormal"/>
        <w:widowControl w:val="0"/>
        <w:suppressAutoHyphens/>
        <w:spacing w:after="0"/>
        <w:ind w:left="567"/>
        <w:jc w:val="both"/>
        <w:rPr>
          <w:rFonts w:ascii="Tahoma" w:hAnsi="Tahoma" w:cs="Tahoma"/>
          <w:sz w:val="21"/>
          <w:szCs w:val="21"/>
        </w:rPr>
      </w:pPr>
    </w:p>
    <w:p w:rsidR="00B6275A" w:rsidRDefault="00B6275A" w:rsidP="00B6275A">
      <w:pPr>
        <w:tabs>
          <w:tab w:val="left" w:pos="3544"/>
          <w:tab w:val="left" w:pos="7230"/>
          <w:tab w:val="left" w:pos="8505"/>
        </w:tabs>
        <w:ind w:right="-486" w:firstLine="454"/>
        <w:jc w:val="both"/>
        <w:rPr>
          <w:rFonts w:ascii="Tahoma" w:eastAsiaTheme="minorHAnsi" w:hAnsi="Tahoma" w:cs="Tahoma"/>
          <w:color w:val="000000"/>
          <w:sz w:val="22"/>
          <w:szCs w:val="22"/>
        </w:rPr>
      </w:pPr>
      <w:r w:rsidRPr="00BC0DA0">
        <w:rPr>
          <w:rFonts w:ascii="Tahoma" w:hAnsi="Tahoma" w:cs="Tahoma"/>
          <w:sz w:val="22"/>
          <w:szCs w:val="22"/>
        </w:rPr>
        <w:t xml:space="preserve">Por estos fundamentos, </w:t>
      </w:r>
      <w:r w:rsidRPr="00BC0DA0">
        <w:rPr>
          <w:rFonts w:ascii="Tahoma" w:hAnsi="Tahoma" w:cs="Tahoma"/>
          <w:color w:val="000000"/>
          <w:sz w:val="22"/>
          <w:szCs w:val="22"/>
        </w:rPr>
        <w:t>de conformidad con el inf</w:t>
      </w:r>
      <w:r w:rsidRPr="00BC0DA0">
        <w:rPr>
          <w:rFonts w:ascii="Tahoma" w:eastAsia="Calibri" w:hAnsi="Tahoma" w:cs="Tahoma"/>
          <w:color w:val="000000"/>
          <w:sz w:val="22"/>
          <w:szCs w:val="22"/>
        </w:rPr>
        <w:t xml:space="preserve">orme de la Vocal Ponente Dra. Ada Rosa Basulto Liewald y la intervención de los Señores Vocales </w:t>
      </w:r>
      <w:r w:rsidRPr="00BC0DA0">
        <w:rPr>
          <w:rFonts w:ascii="Tahoma" w:eastAsiaTheme="minorHAnsi" w:hAnsi="Tahoma" w:cs="Tahoma"/>
          <w:color w:val="000000"/>
          <w:sz w:val="22"/>
          <w:szCs w:val="22"/>
        </w:rPr>
        <w:t xml:space="preserve">Dr. Carlos Vicente Navas Rondón y </w:t>
      </w:r>
      <w:r w:rsidRPr="00BC0DA0">
        <w:rPr>
          <w:rFonts w:ascii="Tahoma" w:eastAsia="Calibri" w:hAnsi="Tahoma" w:cs="Tahoma"/>
          <w:color w:val="000000"/>
          <w:sz w:val="22"/>
          <w:szCs w:val="22"/>
        </w:rPr>
        <w:t xml:space="preserve">Dra. Janette Elke Ramírez Maynetto; </w:t>
      </w:r>
      <w:r w:rsidRPr="00BC0DA0">
        <w:rPr>
          <w:rFonts w:ascii="Tahoma" w:eastAsiaTheme="minorHAnsi" w:hAnsi="Tahoma" w:cs="Tahoma"/>
          <w:color w:val="000000"/>
          <w:sz w:val="22"/>
          <w:szCs w:val="22"/>
        </w:rPr>
        <w:t>atendiendo a la reconformación de l</w:t>
      </w:r>
      <w:r>
        <w:rPr>
          <w:rFonts w:ascii="Tahoma" w:eastAsiaTheme="minorHAnsi" w:hAnsi="Tahoma" w:cs="Tahoma"/>
          <w:color w:val="000000"/>
          <w:sz w:val="22"/>
          <w:szCs w:val="22"/>
        </w:rPr>
        <w:t>a Primera Sala del Tribunal de Contrataciones</w:t>
      </w:r>
      <w:r w:rsidRPr="00BC0DA0">
        <w:rPr>
          <w:rFonts w:ascii="Tahoma" w:eastAsiaTheme="minorHAnsi" w:hAnsi="Tahoma" w:cs="Tahoma"/>
          <w:color w:val="000000"/>
          <w:sz w:val="22"/>
          <w:szCs w:val="22"/>
        </w:rPr>
        <w:t xml:space="preserve"> del Estado, según lo dispuesto en la Resolución № 103-2011-OSCE/PRE, expedida el 15 de febrero de 2011; y, en ejercicio de las facultades conferidas en los artículos 51 y 63 de la Ley de Contrataciones del Estado, aprobada por Decreto Legislativo № </w:t>
      </w:r>
      <w:r>
        <w:rPr>
          <w:rFonts w:ascii="Tahoma" w:eastAsiaTheme="minorHAnsi" w:hAnsi="Tahoma" w:cs="Tahoma"/>
          <w:color w:val="000000"/>
          <w:sz w:val="22"/>
          <w:szCs w:val="22"/>
        </w:rPr>
        <w:t>1017</w:t>
      </w:r>
      <w:r w:rsidRPr="00BC0DA0">
        <w:rPr>
          <w:rFonts w:ascii="Tahoma" w:eastAsiaTheme="minorHAnsi" w:hAnsi="Tahoma" w:cs="Tahoma"/>
          <w:color w:val="000000"/>
          <w:sz w:val="22"/>
          <w:szCs w:val="22"/>
        </w:rPr>
        <w:t>, y los artículos 17 y 18 del Reglamento de Organización y Funciones del OSCE, aprobado por Decreto Supremo № 006-2009-EF, analizados los antecedentes y luego de agotado el debate</w:t>
      </w:r>
      <w:r>
        <w:rPr>
          <w:rFonts w:ascii="Tahoma" w:eastAsiaTheme="minorHAnsi" w:hAnsi="Tahoma" w:cs="Tahoma"/>
          <w:color w:val="000000"/>
          <w:sz w:val="22"/>
          <w:szCs w:val="22"/>
        </w:rPr>
        <w:t xml:space="preserve"> correspondiente, por unanimidad</w:t>
      </w:r>
    </w:p>
    <w:p w:rsidR="00670ADF" w:rsidRPr="004929CB" w:rsidRDefault="00670ADF" w:rsidP="00B6275A">
      <w:pPr>
        <w:tabs>
          <w:tab w:val="left" w:pos="3544"/>
          <w:tab w:val="left" w:pos="7230"/>
          <w:tab w:val="left" w:pos="8505"/>
        </w:tabs>
        <w:ind w:right="-486" w:firstLine="454"/>
        <w:jc w:val="both"/>
        <w:rPr>
          <w:rFonts w:ascii="Tahoma" w:hAnsi="Tahoma" w:cs="Tahoma"/>
          <w:sz w:val="21"/>
          <w:szCs w:val="21"/>
        </w:rPr>
      </w:pPr>
    </w:p>
    <w:p w:rsidR="00B6275A" w:rsidRPr="00B6275A" w:rsidRDefault="00B6275A" w:rsidP="00B6275A">
      <w:pPr>
        <w:tabs>
          <w:tab w:val="num" w:pos="360"/>
          <w:tab w:val="left" w:pos="3544"/>
          <w:tab w:val="left" w:pos="7230"/>
          <w:tab w:val="left" w:pos="8505"/>
        </w:tabs>
        <w:ind w:left="-180" w:right="-486" w:firstLine="180"/>
        <w:jc w:val="both"/>
        <w:rPr>
          <w:rFonts w:ascii="Tahoma" w:hAnsi="Tahoma" w:cs="Tahoma"/>
          <w:b/>
          <w:shadow/>
          <w:sz w:val="22"/>
          <w:szCs w:val="22"/>
        </w:rPr>
      </w:pPr>
      <w:r w:rsidRPr="00B6275A">
        <w:rPr>
          <w:rFonts w:ascii="Tahoma" w:hAnsi="Tahoma" w:cs="Tahoma"/>
          <w:b/>
          <w:shadow/>
          <w:sz w:val="22"/>
          <w:szCs w:val="22"/>
        </w:rPr>
        <w:t>LA SALA RESUELVE:</w:t>
      </w:r>
    </w:p>
    <w:p w:rsidR="00B6275A" w:rsidRPr="004929CB" w:rsidRDefault="00B6275A" w:rsidP="00B6275A">
      <w:pPr>
        <w:tabs>
          <w:tab w:val="num" w:pos="360"/>
          <w:tab w:val="left" w:pos="3544"/>
          <w:tab w:val="left" w:pos="7230"/>
          <w:tab w:val="left" w:pos="8505"/>
        </w:tabs>
        <w:ind w:left="-180" w:right="-486" w:firstLine="180"/>
        <w:jc w:val="both"/>
        <w:rPr>
          <w:rFonts w:ascii="Tahoma" w:hAnsi="Tahoma" w:cs="Tahoma"/>
          <w:b/>
          <w:shadow/>
          <w:sz w:val="21"/>
          <w:szCs w:val="21"/>
        </w:rPr>
      </w:pPr>
    </w:p>
    <w:p w:rsidR="00B6275A" w:rsidRDefault="00B6275A" w:rsidP="00B6275A">
      <w:pPr>
        <w:pStyle w:val="Prrafodelista"/>
        <w:numPr>
          <w:ilvl w:val="0"/>
          <w:numId w:val="18"/>
        </w:numPr>
        <w:tabs>
          <w:tab w:val="clear" w:pos="720"/>
          <w:tab w:val="num" w:pos="567"/>
        </w:tabs>
        <w:ind w:left="426" w:hanging="567"/>
        <w:contextualSpacing/>
        <w:jc w:val="both"/>
        <w:rPr>
          <w:rFonts w:ascii="Tahoma" w:hAnsi="Tahoma" w:cs="Tahoma"/>
          <w:sz w:val="22"/>
          <w:szCs w:val="22"/>
        </w:rPr>
      </w:pPr>
      <w:r w:rsidRPr="00794292">
        <w:rPr>
          <w:rFonts w:ascii="Tahoma" w:hAnsi="Tahoma" w:cs="Tahoma"/>
          <w:sz w:val="22"/>
          <w:szCs w:val="22"/>
        </w:rPr>
        <w:t>Declarar fundado el recurso de apelación interpuesto por el Consorcio Rio Mayo</w:t>
      </w:r>
      <w:r>
        <w:rPr>
          <w:rFonts w:ascii="Tahoma" w:hAnsi="Tahoma" w:cs="Tahoma"/>
          <w:sz w:val="22"/>
          <w:szCs w:val="22"/>
        </w:rPr>
        <w:t>,</w:t>
      </w:r>
      <w:r w:rsidRPr="00794292">
        <w:rPr>
          <w:rFonts w:ascii="Tahoma" w:hAnsi="Tahoma" w:cs="Tahoma"/>
          <w:sz w:val="22"/>
          <w:szCs w:val="22"/>
        </w:rPr>
        <w:t xml:space="preserve"> conformado por las empresas Math Construcción y Consultoría SAC; Ingeniería Corporativa Contratistas Generales SAC y HCB Contratistas Generales SRL contra la</w:t>
      </w:r>
      <w:r w:rsidRPr="00794292">
        <w:rPr>
          <w:rFonts w:ascii="Tahoma" w:hAnsi="Tahoma" w:cs="Tahoma"/>
          <w:sz w:val="22"/>
          <w:szCs w:val="22"/>
          <w:lang w:val="es-ES_tradnl"/>
        </w:rPr>
        <w:t xml:space="preserve"> decisión del Comité Especial de tener por no admitida su propuesta económica</w:t>
      </w:r>
      <w:r w:rsidRPr="00794292">
        <w:rPr>
          <w:rFonts w:ascii="Tahoma" w:hAnsi="Tahoma" w:cs="Tahoma"/>
          <w:sz w:val="22"/>
          <w:szCs w:val="22"/>
        </w:rPr>
        <w:t>, en consecuencia, déjese sin efecto el otorgamiento de la buena pro al Consorcio Bajo Huallaga.</w:t>
      </w:r>
    </w:p>
    <w:p w:rsidR="00B6275A" w:rsidRDefault="00B6275A" w:rsidP="00B6275A">
      <w:pPr>
        <w:pStyle w:val="Prrafodelista"/>
        <w:ind w:left="426"/>
        <w:contextualSpacing/>
        <w:jc w:val="both"/>
        <w:rPr>
          <w:rFonts w:ascii="Tahoma" w:hAnsi="Tahoma" w:cs="Tahoma"/>
          <w:sz w:val="22"/>
          <w:szCs w:val="22"/>
        </w:rPr>
      </w:pPr>
    </w:p>
    <w:p w:rsidR="00B6275A" w:rsidRPr="00794292" w:rsidRDefault="00B6275A" w:rsidP="00B6275A">
      <w:pPr>
        <w:pStyle w:val="Prrafodelista"/>
        <w:numPr>
          <w:ilvl w:val="0"/>
          <w:numId w:val="18"/>
        </w:numPr>
        <w:tabs>
          <w:tab w:val="clear" w:pos="720"/>
          <w:tab w:val="num" w:pos="567"/>
        </w:tabs>
        <w:ind w:left="426" w:hanging="567"/>
        <w:contextualSpacing/>
        <w:jc w:val="both"/>
        <w:rPr>
          <w:rFonts w:ascii="Tahoma" w:hAnsi="Tahoma" w:cs="Tahoma"/>
          <w:sz w:val="22"/>
          <w:szCs w:val="22"/>
        </w:rPr>
      </w:pPr>
      <w:r>
        <w:rPr>
          <w:rFonts w:ascii="Tahoma" w:hAnsi="Tahoma" w:cs="Tahoma"/>
          <w:sz w:val="22"/>
          <w:szCs w:val="22"/>
        </w:rPr>
        <w:t xml:space="preserve">Otorgar la Buena Pro al </w:t>
      </w:r>
      <w:r w:rsidRPr="00794292">
        <w:rPr>
          <w:rFonts w:ascii="Tahoma" w:hAnsi="Tahoma" w:cs="Tahoma"/>
          <w:sz w:val="22"/>
          <w:szCs w:val="22"/>
        </w:rPr>
        <w:t>Consorcio Rio Mayo</w:t>
      </w:r>
      <w:r>
        <w:rPr>
          <w:rFonts w:ascii="Tahoma" w:hAnsi="Tahoma" w:cs="Tahoma"/>
          <w:sz w:val="22"/>
          <w:szCs w:val="22"/>
        </w:rPr>
        <w:t>,</w:t>
      </w:r>
      <w:r w:rsidRPr="00794292">
        <w:rPr>
          <w:rFonts w:ascii="Tahoma" w:hAnsi="Tahoma" w:cs="Tahoma"/>
          <w:sz w:val="22"/>
          <w:szCs w:val="22"/>
        </w:rPr>
        <w:t xml:space="preserve"> conformado por las empresas Math Construcción y Consultoría SAC; Ingeniería Corporativa Contratistas Generales SAC y HCB Contratistas Generales SRL</w:t>
      </w:r>
      <w:r>
        <w:rPr>
          <w:rFonts w:ascii="Tahoma" w:hAnsi="Tahoma" w:cs="Tahoma"/>
          <w:sz w:val="22"/>
          <w:szCs w:val="22"/>
        </w:rPr>
        <w:t>, por los fundamentos antes expuestos.</w:t>
      </w:r>
    </w:p>
    <w:p w:rsidR="00B6275A" w:rsidRPr="00794292" w:rsidRDefault="00B6275A" w:rsidP="00B6275A">
      <w:pPr>
        <w:jc w:val="both"/>
        <w:rPr>
          <w:rFonts w:ascii="Tahoma" w:hAnsi="Tahoma" w:cs="Tahoma"/>
          <w:sz w:val="22"/>
          <w:szCs w:val="22"/>
        </w:rPr>
      </w:pPr>
    </w:p>
    <w:p w:rsidR="00B6275A" w:rsidRDefault="00B6275A" w:rsidP="00B6275A">
      <w:pPr>
        <w:numPr>
          <w:ilvl w:val="0"/>
          <w:numId w:val="18"/>
        </w:numPr>
        <w:tabs>
          <w:tab w:val="clear" w:pos="720"/>
          <w:tab w:val="num" w:pos="540"/>
        </w:tabs>
        <w:ind w:left="426" w:hanging="540"/>
        <w:jc w:val="both"/>
        <w:rPr>
          <w:rFonts w:ascii="Tahoma" w:hAnsi="Tahoma" w:cs="Tahoma"/>
          <w:sz w:val="22"/>
          <w:szCs w:val="22"/>
        </w:rPr>
      </w:pPr>
      <w:r w:rsidRPr="00794292">
        <w:rPr>
          <w:rFonts w:ascii="Tahoma" w:hAnsi="Tahoma" w:cs="Tahoma"/>
          <w:sz w:val="22"/>
          <w:szCs w:val="22"/>
        </w:rPr>
        <w:lastRenderedPageBreak/>
        <w:t>Disponer la devolución de la garantía presentada por el Consorcio Rio Mayo, para la interposición de su recurso de apelación.</w:t>
      </w:r>
    </w:p>
    <w:p w:rsidR="00B6275A" w:rsidRDefault="00B6275A" w:rsidP="00B6275A">
      <w:pPr>
        <w:pStyle w:val="Prrafodelista"/>
        <w:rPr>
          <w:rFonts w:ascii="Tahoma" w:hAnsi="Tahoma" w:cs="Tahoma"/>
          <w:sz w:val="22"/>
          <w:szCs w:val="22"/>
        </w:rPr>
      </w:pPr>
    </w:p>
    <w:p w:rsidR="00B6275A" w:rsidRPr="00794292" w:rsidRDefault="00B6275A" w:rsidP="00B6275A">
      <w:pPr>
        <w:numPr>
          <w:ilvl w:val="0"/>
          <w:numId w:val="18"/>
        </w:numPr>
        <w:tabs>
          <w:tab w:val="clear" w:pos="720"/>
          <w:tab w:val="num" w:pos="540"/>
        </w:tabs>
        <w:ind w:left="426" w:hanging="540"/>
        <w:jc w:val="both"/>
        <w:rPr>
          <w:rFonts w:ascii="Tahoma" w:hAnsi="Tahoma" w:cs="Tahoma"/>
          <w:sz w:val="22"/>
          <w:szCs w:val="22"/>
        </w:rPr>
      </w:pPr>
      <w:r>
        <w:rPr>
          <w:rFonts w:ascii="Tahoma" w:hAnsi="Tahoma" w:cs="Tahoma"/>
          <w:sz w:val="22"/>
          <w:szCs w:val="22"/>
        </w:rPr>
        <w:t>P</w:t>
      </w:r>
      <w:r w:rsidRPr="00794292">
        <w:rPr>
          <w:rFonts w:ascii="Tahoma" w:hAnsi="Tahoma" w:cs="Tahoma"/>
          <w:sz w:val="22"/>
          <w:szCs w:val="22"/>
        </w:rPr>
        <w:t>oner en conocimiento del Órgano de Control Interno de la Entidad y de la Contraloría General de la República los hechos expuestos</w:t>
      </w:r>
      <w:r>
        <w:rPr>
          <w:rFonts w:ascii="Tahoma" w:hAnsi="Tahoma" w:cs="Tahoma"/>
          <w:sz w:val="22"/>
          <w:szCs w:val="22"/>
        </w:rPr>
        <w:t xml:space="preserve"> en la fundamentación 38.</w:t>
      </w:r>
    </w:p>
    <w:p w:rsidR="00B6275A" w:rsidRPr="00535853" w:rsidRDefault="00B6275A" w:rsidP="00B6275A">
      <w:pPr>
        <w:ind w:left="426" w:right="-1"/>
        <w:jc w:val="both"/>
        <w:rPr>
          <w:rFonts w:ascii="Tahoma" w:hAnsi="Tahoma" w:cs="Tahoma"/>
          <w:sz w:val="22"/>
          <w:szCs w:val="22"/>
        </w:rPr>
      </w:pPr>
    </w:p>
    <w:p w:rsidR="00B6275A" w:rsidRPr="00535853" w:rsidRDefault="00B6275A" w:rsidP="00B6275A">
      <w:pPr>
        <w:numPr>
          <w:ilvl w:val="0"/>
          <w:numId w:val="18"/>
        </w:numPr>
        <w:tabs>
          <w:tab w:val="clear" w:pos="720"/>
          <w:tab w:val="num" w:pos="567"/>
        </w:tabs>
        <w:ind w:left="426" w:hanging="567"/>
        <w:jc w:val="both"/>
        <w:rPr>
          <w:rFonts w:ascii="Tahoma" w:hAnsi="Tahoma" w:cs="Tahoma"/>
          <w:sz w:val="22"/>
          <w:szCs w:val="22"/>
        </w:rPr>
      </w:pPr>
      <w:r w:rsidRPr="00535853">
        <w:rPr>
          <w:rFonts w:ascii="Tahoma" w:hAnsi="Tahoma" w:cs="Tahoma"/>
          <w:sz w:val="22"/>
          <w:szCs w:val="22"/>
        </w:rPr>
        <w:t>Dar por agotada la vía administrativa.</w:t>
      </w:r>
    </w:p>
    <w:p w:rsidR="00B6275A" w:rsidRPr="00535853" w:rsidRDefault="00B6275A" w:rsidP="00B6275A">
      <w:pPr>
        <w:pStyle w:val="Textoindependiente21"/>
        <w:tabs>
          <w:tab w:val="left" w:pos="3544"/>
          <w:tab w:val="left" w:pos="7230"/>
          <w:tab w:val="left" w:pos="8505"/>
        </w:tabs>
        <w:ind w:right="-486"/>
        <w:rPr>
          <w:rFonts w:cs="Tahoma"/>
          <w:szCs w:val="22"/>
        </w:rPr>
      </w:pPr>
    </w:p>
    <w:p w:rsidR="00B6275A" w:rsidRPr="00535853" w:rsidRDefault="00B6275A" w:rsidP="00B6275A">
      <w:pPr>
        <w:pStyle w:val="Textoindependiente21"/>
        <w:ind w:firstLine="567"/>
        <w:rPr>
          <w:rFonts w:cs="Tahoma"/>
          <w:szCs w:val="22"/>
        </w:rPr>
      </w:pPr>
      <w:r w:rsidRPr="00535853">
        <w:rPr>
          <w:rFonts w:cs="Tahoma"/>
          <w:szCs w:val="22"/>
        </w:rPr>
        <w:t>Regístrese, comuníquese y publíquese.</w:t>
      </w:r>
    </w:p>
    <w:p w:rsidR="00535853" w:rsidRDefault="00535853" w:rsidP="00B6275A">
      <w:pPr>
        <w:jc w:val="center"/>
        <w:rPr>
          <w:rFonts w:ascii="Tahoma" w:hAnsi="Tahoma" w:cs="Tahoma"/>
          <w:b/>
        </w:rPr>
      </w:pPr>
    </w:p>
    <w:p w:rsidR="00535853" w:rsidRDefault="00535853"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4654FE" w:rsidRDefault="004654FE" w:rsidP="00B6275A">
      <w:pPr>
        <w:jc w:val="center"/>
        <w:rPr>
          <w:rFonts w:ascii="Tahoma" w:hAnsi="Tahoma" w:cs="Tahoma"/>
          <w:b/>
        </w:rPr>
      </w:pPr>
    </w:p>
    <w:p w:rsidR="006C7444" w:rsidRPr="004654FE" w:rsidRDefault="006C7444" w:rsidP="00B6275A">
      <w:pPr>
        <w:jc w:val="center"/>
        <w:rPr>
          <w:rFonts w:ascii="Tahoma" w:hAnsi="Tahoma" w:cs="Tahoma"/>
          <w:b/>
          <w:sz w:val="22"/>
          <w:szCs w:val="22"/>
        </w:rPr>
      </w:pPr>
    </w:p>
    <w:p w:rsidR="00B6275A" w:rsidRPr="004654FE" w:rsidRDefault="00B6275A" w:rsidP="00B6275A">
      <w:pPr>
        <w:jc w:val="center"/>
        <w:rPr>
          <w:rFonts w:ascii="Tahoma" w:hAnsi="Tahoma" w:cs="Tahoma"/>
          <w:b/>
          <w:shadow/>
          <w:sz w:val="22"/>
          <w:szCs w:val="22"/>
          <w:lang w:val="pt-BR"/>
        </w:rPr>
      </w:pPr>
      <w:r w:rsidRPr="004654FE">
        <w:rPr>
          <w:rFonts w:ascii="Tahoma" w:hAnsi="Tahoma" w:cs="Tahoma"/>
          <w:b/>
          <w:shadow/>
          <w:sz w:val="22"/>
          <w:szCs w:val="22"/>
          <w:lang w:val="pt-BR"/>
        </w:rPr>
        <w:t>PRESIDENTE</w:t>
      </w:r>
    </w:p>
    <w:p w:rsidR="00B6275A" w:rsidRPr="004654FE" w:rsidRDefault="00B6275A" w:rsidP="00B6275A">
      <w:pPr>
        <w:ind w:firstLine="708"/>
        <w:rPr>
          <w:rFonts w:ascii="Tahoma" w:hAnsi="Tahoma" w:cs="Tahoma"/>
          <w:b/>
          <w:shadow/>
          <w:sz w:val="22"/>
          <w:szCs w:val="22"/>
          <w:lang w:val="pt-BR"/>
        </w:rPr>
      </w:pPr>
      <w:r w:rsidRPr="004654FE">
        <w:rPr>
          <w:rFonts w:ascii="Tahoma" w:hAnsi="Tahoma" w:cs="Tahoma"/>
          <w:b/>
          <w:shadow/>
          <w:sz w:val="22"/>
          <w:szCs w:val="22"/>
          <w:lang w:val="pt-BR"/>
        </w:rPr>
        <w:t xml:space="preserve">VOCAL           </w:t>
      </w:r>
      <w:r w:rsidRPr="004654FE">
        <w:rPr>
          <w:rFonts w:ascii="Tahoma" w:hAnsi="Tahoma" w:cs="Tahoma"/>
          <w:b/>
          <w:shadow/>
          <w:sz w:val="22"/>
          <w:szCs w:val="22"/>
          <w:lang w:val="pt-BR"/>
        </w:rPr>
        <w:tab/>
      </w:r>
      <w:r w:rsidRPr="004654FE">
        <w:rPr>
          <w:rFonts w:ascii="Tahoma" w:hAnsi="Tahoma" w:cs="Tahoma"/>
          <w:b/>
          <w:shadow/>
          <w:sz w:val="22"/>
          <w:szCs w:val="22"/>
          <w:lang w:val="pt-BR"/>
        </w:rPr>
        <w:tab/>
        <w:t xml:space="preserve">                                                                 VOCAL</w:t>
      </w:r>
    </w:p>
    <w:p w:rsidR="00B6275A" w:rsidRPr="004654FE" w:rsidRDefault="00B6275A" w:rsidP="00B6275A">
      <w:pPr>
        <w:jc w:val="both"/>
        <w:rPr>
          <w:rFonts w:ascii="Tahoma" w:hAnsi="Tahoma" w:cs="Tahoma"/>
          <w:sz w:val="22"/>
          <w:szCs w:val="22"/>
          <w:lang w:val="pt-BR"/>
        </w:rPr>
      </w:pPr>
      <w:r w:rsidRPr="004654FE">
        <w:rPr>
          <w:rFonts w:ascii="Tahoma" w:hAnsi="Tahoma" w:cs="Tahoma"/>
          <w:sz w:val="22"/>
          <w:szCs w:val="22"/>
          <w:lang w:val="pt-BR"/>
        </w:rPr>
        <w:t>ss.</w:t>
      </w:r>
    </w:p>
    <w:p w:rsidR="00B6275A" w:rsidRPr="004654FE" w:rsidRDefault="00B6275A" w:rsidP="00B6275A">
      <w:pPr>
        <w:jc w:val="both"/>
        <w:rPr>
          <w:rFonts w:ascii="Tahoma" w:hAnsi="Tahoma" w:cs="Tahoma"/>
          <w:sz w:val="22"/>
          <w:szCs w:val="22"/>
          <w:lang w:val="pt-BR"/>
        </w:rPr>
      </w:pPr>
      <w:r w:rsidRPr="004654FE">
        <w:rPr>
          <w:rFonts w:ascii="Tahoma" w:hAnsi="Tahoma" w:cs="Tahoma"/>
          <w:sz w:val="22"/>
          <w:szCs w:val="22"/>
          <w:lang w:val="pt-BR"/>
        </w:rPr>
        <w:t>Navas Rondon</w:t>
      </w:r>
    </w:p>
    <w:p w:rsidR="00B6275A" w:rsidRPr="004654FE" w:rsidRDefault="00B6275A" w:rsidP="00B6275A">
      <w:pPr>
        <w:pStyle w:val="Textoindependiente21"/>
        <w:tabs>
          <w:tab w:val="left" w:pos="5250"/>
        </w:tabs>
        <w:rPr>
          <w:rFonts w:cs="Tahoma"/>
          <w:szCs w:val="22"/>
          <w:lang w:val="pt-BR"/>
        </w:rPr>
      </w:pPr>
      <w:r w:rsidRPr="004654FE">
        <w:rPr>
          <w:rFonts w:cs="Tahoma"/>
          <w:szCs w:val="22"/>
          <w:lang w:val="en-US"/>
        </w:rPr>
        <w:t>Ramírez Maynetto.</w:t>
      </w:r>
    </w:p>
    <w:p w:rsidR="005C4B97" w:rsidRPr="004654FE" w:rsidRDefault="00B6275A" w:rsidP="00535853">
      <w:pPr>
        <w:pStyle w:val="Textoindependiente21"/>
        <w:tabs>
          <w:tab w:val="left" w:pos="5250"/>
        </w:tabs>
        <w:rPr>
          <w:szCs w:val="22"/>
        </w:rPr>
      </w:pPr>
      <w:r w:rsidRPr="004654FE">
        <w:rPr>
          <w:rFonts w:cs="Tahoma"/>
          <w:szCs w:val="22"/>
          <w:lang w:val="pt-BR"/>
        </w:rPr>
        <w:t>Basulto Liewald.</w:t>
      </w:r>
    </w:p>
    <w:sectPr w:rsidR="005C4B97" w:rsidRPr="004654FE" w:rsidSect="005C4B97">
      <w:headerReference w:type="default" r:id="rId7"/>
      <w:footerReference w:type="even" r:id="rId8"/>
      <w:footerReference w:type="default" r:id="rId9"/>
      <w:pgSz w:w="11907" w:h="16840" w:code="9"/>
      <w:pgMar w:top="3232" w:right="1701" w:bottom="1418" w:left="1701" w:header="720" w:footer="69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03BF" w:rsidRDefault="000C03BF" w:rsidP="00B6275A">
      <w:r>
        <w:separator/>
      </w:r>
    </w:p>
  </w:endnote>
  <w:endnote w:type="continuationSeparator" w:id="1">
    <w:p w:rsidR="000C03BF" w:rsidRDefault="000C03BF" w:rsidP="00B627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umnst777 BT">
    <w:altName w:val="Humnst777 B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606020202030204"/>
    <w:charset w:val="00"/>
    <w:family w:val="swiss"/>
    <w:pitch w:val="variable"/>
    <w:sig w:usb0="00000287" w:usb1="000008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B97" w:rsidRDefault="00893D5C" w:rsidP="005C4B97">
    <w:pPr>
      <w:pStyle w:val="Piedepgina"/>
      <w:framePr w:wrap="around" w:vAnchor="text" w:hAnchor="margin" w:xAlign="center" w:y="1"/>
      <w:rPr>
        <w:rStyle w:val="Nmerodepgina"/>
      </w:rPr>
    </w:pPr>
    <w:r>
      <w:rPr>
        <w:rStyle w:val="Nmerodepgina"/>
      </w:rPr>
      <w:fldChar w:fldCharType="begin"/>
    </w:r>
    <w:r w:rsidR="005C4B97">
      <w:rPr>
        <w:rStyle w:val="Nmerodepgina"/>
      </w:rPr>
      <w:instrText xml:space="preserve">PAGE  </w:instrText>
    </w:r>
    <w:r>
      <w:rPr>
        <w:rStyle w:val="Nmerodepgina"/>
      </w:rPr>
      <w:fldChar w:fldCharType="end"/>
    </w:r>
  </w:p>
  <w:p w:rsidR="005C4B97" w:rsidRDefault="005C4B97">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207"/>
      <w:docPartObj>
        <w:docPartGallery w:val="Page Numbers (Bottom of Page)"/>
        <w:docPartUnique/>
      </w:docPartObj>
    </w:sdtPr>
    <w:sdtContent>
      <w:sdt>
        <w:sdtPr>
          <w:id w:val="216747541"/>
          <w:docPartObj>
            <w:docPartGallery w:val="Page Numbers (Top of Page)"/>
            <w:docPartUnique/>
          </w:docPartObj>
        </w:sdtPr>
        <w:sdtContent>
          <w:p w:rsidR="005C4B97" w:rsidRDefault="005C4B97">
            <w:pPr>
              <w:pStyle w:val="Piedepgina"/>
              <w:jc w:val="center"/>
            </w:pPr>
            <w:r>
              <w:t xml:space="preserve">Página </w:t>
            </w:r>
            <w:r w:rsidR="00893D5C">
              <w:rPr>
                <w:b/>
                <w:szCs w:val="24"/>
              </w:rPr>
              <w:fldChar w:fldCharType="begin"/>
            </w:r>
            <w:r>
              <w:rPr>
                <w:b/>
              </w:rPr>
              <w:instrText>PAGE</w:instrText>
            </w:r>
            <w:r w:rsidR="00893D5C">
              <w:rPr>
                <w:b/>
                <w:szCs w:val="24"/>
              </w:rPr>
              <w:fldChar w:fldCharType="separate"/>
            </w:r>
            <w:r w:rsidR="00B0312D">
              <w:rPr>
                <w:b/>
                <w:noProof/>
              </w:rPr>
              <w:t>1</w:t>
            </w:r>
            <w:r w:rsidR="00893D5C">
              <w:rPr>
                <w:b/>
                <w:szCs w:val="24"/>
              </w:rPr>
              <w:fldChar w:fldCharType="end"/>
            </w:r>
            <w:r>
              <w:t xml:space="preserve"> de </w:t>
            </w:r>
            <w:r w:rsidR="00893D5C">
              <w:rPr>
                <w:b/>
                <w:szCs w:val="24"/>
              </w:rPr>
              <w:fldChar w:fldCharType="begin"/>
            </w:r>
            <w:r>
              <w:rPr>
                <w:b/>
              </w:rPr>
              <w:instrText>NUMPAGES</w:instrText>
            </w:r>
            <w:r w:rsidR="00893D5C">
              <w:rPr>
                <w:b/>
                <w:szCs w:val="24"/>
              </w:rPr>
              <w:fldChar w:fldCharType="separate"/>
            </w:r>
            <w:r w:rsidR="00B0312D">
              <w:rPr>
                <w:b/>
                <w:noProof/>
              </w:rPr>
              <w:t>26</w:t>
            </w:r>
            <w:r w:rsidR="00893D5C">
              <w:rPr>
                <w:b/>
                <w:szCs w:val="24"/>
              </w:rPr>
              <w:fldChar w:fldCharType="end"/>
            </w:r>
          </w:p>
        </w:sdtContent>
      </w:sdt>
    </w:sdtContent>
  </w:sdt>
  <w:p w:rsidR="005C4B97" w:rsidRDefault="005C4B97">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03BF" w:rsidRDefault="000C03BF" w:rsidP="00B6275A">
      <w:r>
        <w:separator/>
      </w:r>
    </w:p>
  </w:footnote>
  <w:footnote w:type="continuationSeparator" w:id="1">
    <w:p w:rsidR="000C03BF" w:rsidRDefault="000C03BF" w:rsidP="00B6275A">
      <w:r>
        <w:continuationSeparator/>
      </w:r>
    </w:p>
  </w:footnote>
  <w:footnote w:id="2">
    <w:p w:rsidR="005C4B97" w:rsidRDefault="005C4B97" w:rsidP="00B6275A">
      <w:pPr>
        <w:pStyle w:val="Textonotapie"/>
        <w:jc w:val="both"/>
        <w:rPr>
          <w:rFonts w:ascii="Tahoma" w:hAnsi="Tahoma" w:cs="Tahoma"/>
          <w:sz w:val="18"/>
          <w:szCs w:val="18"/>
          <w:lang w:val="es-ES_tradnl"/>
        </w:rPr>
      </w:pPr>
      <w:r w:rsidRPr="00455760">
        <w:rPr>
          <w:rStyle w:val="Refdenotaalpie"/>
          <w:rFonts w:ascii="Tahoma" w:hAnsi="Tahoma" w:cs="Tahoma"/>
          <w:sz w:val="18"/>
          <w:szCs w:val="18"/>
        </w:rPr>
        <w:footnoteRef/>
      </w:r>
      <w:r w:rsidRPr="00455760">
        <w:rPr>
          <w:rFonts w:ascii="Tahoma" w:hAnsi="Tahoma" w:cs="Tahoma"/>
          <w:sz w:val="18"/>
          <w:szCs w:val="18"/>
        </w:rPr>
        <w:t xml:space="preserve"> </w:t>
      </w:r>
      <w:r w:rsidRPr="001D4E91">
        <w:rPr>
          <w:rFonts w:ascii="Tahoma" w:hAnsi="Tahoma" w:cs="Tahoma"/>
          <w:sz w:val="18"/>
          <w:szCs w:val="18"/>
        </w:rPr>
        <w:t>Casación Nº 119-2006-Lima</w:t>
      </w:r>
    </w:p>
    <w:p w:rsidR="005C4B97" w:rsidRPr="00455760" w:rsidRDefault="005C4B97" w:rsidP="00B6275A">
      <w:pPr>
        <w:pStyle w:val="Textonotapie"/>
        <w:jc w:val="both"/>
        <w:rPr>
          <w:rFonts w:ascii="Tahoma" w:hAnsi="Tahoma" w:cs="Tahoma"/>
          <w:sz w:val="18"/>
          <w:szCs w:val="18"/>
          <w:lang w:val="es-PE"/>
        </w:rPr>
      </w:pPr>
    </w:p>
  </w:footnote>
  <w:footnote w:id="3">
    <w:p w:rsidR="005C4B97" w:rsidRDefault="005C4B97" w:rsidP="00B6275A">
      <w:pPr>
        <w:pStyle w:val="Textonotapie"/>
      </w:pPr>
      <w:r w:rsidRPr="00BD2727">
        <w:rPr>
          <w:rStyle w:val="Refdenotaalpie"/>
        </w:rPr>
        <w:footnoteRef/>
      </w:r>
      <w:r w:rsidRPr="001E35E6">
        <w:t xml:space="preserve"> </w:t>
      </w:r>
      <w:r>
        <w:t>Resolución Nº 1956-2008-TC-S1, del 09 de julio de 2008, así como la Resolución 1126-2009-TC-S2</w:t>
      </w:r>
    </w:p>
  </w:footnote>
  <w:footnote w:id="4">
    <w:p w:rsidR="005C4B97" w:rsidRPr="00D20F9D" w:rsidRDefault="005C4B97" w:rsidP="00B6275A">
      <w:pPr>
        <w:jc w:val="both"/>
        <w:rPr>
          <w:rFonts w:ascii="Tahoma" w:hAnsi="Tahoma" w:cs="Tahoma"/>
          <w:sz w:val="18"/>
          <w:szCs w:val="18"/>
        </w:rPr>
      </w:pPr>
      <w:r w:rsidRPr="00D20F9D">
        <w:rPr>
          <w:rStyle w:val="Refdenotaalpie"/>
          <w:rFonts w:ascii="Tahoma" w:hAnsi="Tahoma" w:cs="Tahoma"/>
          <w:sz w:val="18"/>
          <w:szCs w:val="18"/>
        </w:rPr>
        <w:footnoteRef/>
      </w:r>
      <w:r w:rsidRPr="00D20F9D">
        <w:rPr>
          <w:rFonts w:ascii="Tahoma" w:hAnsi="Tahoma" w:cs="Tahoma"/>
          <w:sz w:val="18"/>
          <w:szCs w:val="18"/>
        </w:rPr>
        <w:t xml:space="preserve"> </w:t>
      </w:r>
      <w:r w:rsidRPr="00D20F9D">
        <w:rPr>
          <w:rFonts w:ascii="Tahoma" w:hAnsi="Tahoma" w:cs="Tahoma"/>
          <w:b/>
          <w:sz w:val="18"/>
          <w:szCs w:val="18"/>
        </w:rPr>
        <w:t xml:space="preserve">1.16. Principio de privilegio de controles posteriores.- </w:t>
      </w:r>
      <w:r w:rsidRPr="00D20F9D">
        <w:rPr>
          <w:rFonts w:ascii="Tahoma" w:hAnsi="Tahoma" w:cs="Tahoma"/>
          <w:sz w:val="18"/>
          <w:szCs w:val="18"/>
        </w:rPr>
        <w:t>La tramitación de los procedimientos administrativos se sustentará en la aplicación de la fiscalización posterior; reservándose la autoridad administrativa, el derecho de comprobar la veracidad de la información presentada, el cumplimiento de la normatividad sustantiva y aplicar las sanciones pertinentes en caso que la información presentada no sea veraz.</w:t>
      </w:r>
    </w:p>
    <w:p w:rsidR="005C4B97" w:rsidRPr="00D20F9D" w:rsidRDefault="005C4B97" w:rsidP="00B6275A">
      <w:pPr>
        <w:pStyle w:val="Textonotapie"/>
        <w:rPr>
          <w:rFonts w:cs="Tahoma"/>
          <w:sz w:val="18"/>
          <w:szCs w:val="18"/>
        </w:rPr>
      </w:pPr>
    </w:p>
  </w:footnote>
  <w:footnote w:id="5">
    <w:p w:rsidR="005C4B97" w:rsidRPr="0030056C" w:rsidRDefault="005C4B97" w:rsidP="00B6275A">
      <w:pPr>
        <w:pStyle w:val="Textonotapie"/>
        <w:rPr>
          <w:rFonts w:ascii="Tahoma" w:hAnsi="Tahoma" w:cs="Tahoma"/>
          <w:sz w:val="18"/>
          <w:szCs w:val="18"/>
        </w:rPr>
      </w:pPr>
      <w:r w:rsidRPr="0030056C">
        <w:rPr>
          <w:rFonts w:ascii="Tahoma" w:hAnsi="Tahoma" w:cs="Tahoma"/>
          <w:sz w:val="18"/>
          <w:szCs w:val="18"/>
        </w:rPr>
        <w:footnoteRef/>
      </w:r>
      <w:r w:rsidRPr="0030056C">
        <w:rPr>
          <w:rFonts w:ascii="Tahoma" w:hAnsi="Tahoma" w:cs="Tahoma"/>
          <w:sz w:val="18"/>
          <w:szCs w:val="18"/>
        </w:rPr>
        <w:t xml:space="preserve"> Literal a.1 del Literal a) del Artículo 2 del </w:t>
      </w:r>
      <w:r>
        <w:rPr>
          <w:rFonts w:ascii="Tahoma" w:hAnsi="Tahoma" w:cs="Tahoma"/>
          <w:sz w:val="18"/>
          <w:szCs w:val="18"/>
        </w:rPr>
        <w:t>Reglamento de la Ley Nº 27037.</w:t>
      </w:r>
    </w:p>
  </w:footnote>
  <w:footnote w:id="6">
    <w:p w:rsidR="005C4B97" w:rsidRPr="0030056C" w:rsidRDefault="005C4B97" w:rsidP="00B6275A">
      <w:pPr>
        <w:pStyle w:val="Textonotapie"/>
        <w:ind w:left="142" w:hanging="142"/>
        <w:jc w:val="both"/>
        <w:rPr>
          <w:rFonts w:ascii="Tahoma" w:hAnsi="Tahoma" w:cs="Tahoma"/>
          <w:sz w:val="18"/>
          <w:szCs w:val="18"/>
        </w:rPr>
      </w:pPr>
      <w:r w:rsidRPr="0030056C">
        <w:rPr>
          <w:rFonts w:ascii="Tahoma" w:hAnsi="Tahoma" w:cs="Tahoma"/>
          <w:sz w:val="18"/>
          <w:szCs w:val="18"/>
        </w:rPr>
        <w:footnoteRef/>
      </w:r>
      <w:r w:rsidRPr="0030056C">
        <w:rPr>
          <w:rFonts w:ascii="Tahoma" w:hAnsi="Tahoma" w:cs="Tahoma"/>
          <w:sz w:val="18"/>
          <w:szCs w:val="18"/>
        </w:rPr>
        <w:t xml:space="preserve"> Resoluciones Nº 2537/2009.TC-S2, Nº 2593/2009.TC-S2 y Nº 2592/2009.TC-S2, entre otras. </w:t>
      </w:r>
    </w:p>
    <w:p w:rsidR="005C4B97" w:rsidRPr="001C7424" w:rsidRDefault="005C4B97" w:rsidP="00B6275A">
      <w:pPr>
        <w:pStyle w:val="Textonotapie"/>
        <w:ind w:left="142" w:hanging="142"/>
        <w:jc w:val="both"/>
      </w:pPr>
      <w:r>
        <w:t xml:space="preserve"> </w:t>
      </w:r>
    </w:p>
  </w:footnote>
  <w:footnote w:id="7">
    <w:p w:rsidR="005C4B97" w:rsidRPr="000C4300" w:rsidRDefault="005C4B97" w:rsidP="00B6275A">
      <w:pPr>
        <w:pStyle w:val="Default"/>
        <w:ind w:left="280" w:hanging="280"/>
        <w:jc w:val="both"/>
        <w:rPr>
          <w:rFonts w:ascii="Times New Roman" w:hAnsi="Times New Roman" w:cs="Times New Roman"/>
          <w:sz w:val="20"/>
          <w:szCs w:val="20"/>
        </w:rPr>
      </w:pPr>
      <w:r>
        <w:rPr>
          <w:rStyle w:val="Refdenotaalpie"/>
        </w:rPr>
        <w:footnoteRef/>
      </w:r>
      <w:r>
        <w:t xml:space="preserve"> </w:t>
      </w:r>
      <w:r w:rsidRPr="000C4300">
        <w:rPr>
          <w:rFonts w:ascii="Times New Roman" w:hAnsi="Times New Roman" w:cs="Times New Roman"/>
          <w:i/>
          <w:iCs/>
          <w:sz w:val="20"/>
          <w:szCs w:val="20"/>
        </w:rPr>
        <w:t>“</w:t>
      </w:r>
      <w:r w:rsidRPr="000C4300">
        <w:rPr>
          <w:rFonts w:ascii="Times New Roman" w:hAnsi="Times New Roman" w:cs="Times New Roman"/>
          <w:b/>
          <w:sz w:val="20"/>
          <w:szCs w:val="20"/>
        </w:rPr>
        <w:t>Artículo 66.- Acto público de presentación de propuestas</w:t>
      </w:r>
      <w:r w:rsidRPr="000C4300">
        <w:rPr>
          <w:rFonts w:ascii="Times New Roman" w:hAnsi="Times New Roman" w:cs="Times New Roman"/>
          <w:sz w:val="20"/>
          <w:szCs w:val="20"/>
        </w:rPr>
        <w:t xml:space="preserve"> </w:t>
      </w:r>
    </w:p>
    <w:p w:rsidR="005C4B97" w:rsidRPr="000C4300" w:rsidRDefault="005C4B97" w:rsidP="00B6275A">
      <w:pPr>
        <w:autoSpaceDE w:val="0"/>
        <w:autoSpaceDN w:val="0"/>
        <w:adjustRightInd w:val="0"/>
        <w:ind w:left="182" w:firstLine="14"/>
        <w:jc w:val="both"/>
        <w:rPr>
          <w:color w:val="000000"/>
        </w:rPr>
      </w:pPr>
      <w:r w:rsidRPr="000C4300">
        <w:rPr>
          <w:color w:val="000000"/>
        </w:rPr>
        <w:t xml:space="preserve">(…) El Comité Especial procederá a abrir los sobres que contienen la propuesta técnica de cada postor. </w:t>
      </w:r>
    </w:p>
    <w:p w:rsidR="005C4B97" w:rsidRPr="000C4300" w:rsidRDefault="005C4B97" w:rsidP="00B6275A">
      <w:pPr>
        <w:pStyle w:val="Textonotapie"/>
        <w:ind w:left="182"/>
        <w:jc w:val="both"/>
      </w:pPr>
      <w:r w:rsidRPr="000C4300">
        <w:rPr>
          <w:color w:val="000000"/>
        </w:rPr>
        <w:t>El Comité Especial comprobará que los documentos presentados por cada postor sean los solicitados por las Bases, la Ley y el Reglamento. De no ser así, devolverá la propuesta, teniéndola por no presentada, salvo que el postor exprese su disconformidad, en cuyo caso se anotará tal circunstancia en el acta y el Notario o Juez de Paz mantendrá la propuesta en su poder hasta el momento en que el postor formule apelación. Si se formula apelación se estará a lo que finalmente se resuelva al respecto. (…) El Comité levantará el acta respectiva, la cual deberá ser suscrita por todos sus miembros, así como por los veedores y los postores que lo deseen“.</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12D" w:rsidRDefault="00B0312D" w:rsidP="00B0312D">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0312D" w:rsidRDefault="00B0312D" w:rsidP="00B0312D">
    <w:pPr>
      <w:pStyle w:val="Encabezado"/>
      <w:rPr>
        <w:noProof/>
      </w:rPr>
    </w:pPr>
  </w:p>
  <w:p w:rsidR="00B0312D" w:rsidRDefault="00B0312D" w:rsidP="00B0312D">
    <w:pPr>
      <w:pStyle w:val="Encabezado"/>
      <w:rPr>
        <w:noProof/>
      </w:rPr>
    </w:pPr>
  </w:p>
  <w:p w:rsidR="00B0312D" w:rsidRDefault="00B0312D" w:rsidP="00B0312D">
    <w:pPr>
      <w:pStyle w:val="Encabezado"/>
      <w:rPr>
        <w:noProof/>
      </w:rPr>
    </w:pPr>
  </w:p>
  <w:p w:rsidR="00B0312D" w:rsidRDefault="00B0312D" w:rsidP="00B0312D">
    <w:pPr>
      <w:pStyle w:val="Encabezado"/>
      <w:jc w:val="center"/>
    </w:pPr>
    <w:r>
      <w:rPr>
        <w:rFonts w:ascii="Monotype Corsiva" w:hAnsi="Monotype Corsiva"/>
        <w:b/>
        <w:sz w:val="44"/>
        <w:szCs w:val="44"/>
      </w:rPr>
      <w:t xml:space="preserve">Resolución Nº   </w:t>
    </w:r>
    <w:r>
      <w:rPr>
        <w:rFonts w:ascii="Tahoma" w:hAnsi="Tahoma" w:cs="Tahoma"/>
        <w:b/>
        <w:sz w:val="44"/>
        <w:szCs w:val="44"/>
      </w:rPr>
      <w:t>983-2011-TC-S1</w:t>
    </w:r>
  </w:p>
  <w:p w:rsidR="00B0312D" w:rsidRDefault="00B031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1871"/>
    <w:multiLevelType w:val="hybridMultilevel"/>
    <w:tmpl w:val="D1F8BC1E"/>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06015F5"/>
    <w:multiLevelType w:val="hybridMultilevel"/>
    <w:tmpl w:val="C038DE02"/>
    <w:lvl w:ilvl="0" w:tplc="73C242AE">
      <w:start w:val="1"/>
      <w:numFmt w:val="decimal"/>
      <w:lvlText w:val="%1)"/>
      <w:lvlJc w:val="left"/>
      <w:pPr>
        <w:ind w:left="786" w:hanging="360"/>
      </w:pPr>
      <w:rPr>
        <w:rFonts w:hint="default"/>
        <w:b w:val="0"/>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2">
    <w:nsid w:val="03B204BB"/>
    <w:multiLevelType w:val="hybridMultilevel"/>
    <w:tmpl w:val="E0E0981C"/>
    <w:lvl w:ilvl="0" w:tplc="D04A2874">
      <w:start w:val="1"/>
      <w:numFmt w:val="decimal"/>
      <w:lvlText w:val="%1."/>
      <w:lvlJc w:val="left"/>
      <w:pPr>
        <w:ind w:left="720" w:hanging="360"/>
      </w:pPr>
      <w:rPr>
        <w:rFonts w:ascii="Tahoma" w:hAnsi="Tahoma" w:cs="Tahoma" w:hint="default"/>
        <w:b/>
        <w:i w:val="0"/>
        <w:sz w:val="20"/>
        <w:szCs w:val="2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074108FB"/>
    <w:multiLevelType w:val="hybridMultilevel"/>
    <w:tmpl w:val="7EF2AB58"/>
    <w:lvl w:ilvl="0" w:tplc="0C0A0015">
      <w:start w:val="1"/>
      <w:numFmt w:val="upp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4">
    <w:nsid w:val="080C68FC"/>
    <w:multiLevelType w:val="hybridMultilevel"/>
    <w:tmpl w:val="1C7E8E80"/>
    <w:lvl w:ilvl="0" w:tplc="4260A94C">
      <w:start w:val="1"/>
      <w:numFmt w:val="decimal"/>
      <w:lvlText w:val="%1."/>
      <w:lvlJc w:val="left"/>
      <w:pPr>
        <w:tabs>
          <w:tab w:val="num" w:pos="315"/>
        </w:tabs>
        <w:ind w:left="315" w:hanging="360"/>
      </w:pPr>
      <w:rPr>
        <w:rFonts w:ascii="Tahoma" w:hAnsi="Tahoma" w:cs="Tahoma" w:hint="default"/>
        <w:b/>
        <w:i w:val="0"/>
        <w:color w:val="auto"/>
        <w:sz w:val="20"/>
        <w:szCs w:val="20"/>
      </w:rPr>
    </w:lvl>
    <w:lvl w:ilvl="1" w:tplc="0C0A0019">
      <w:start w:val="1"/>
      <w:numFmt w:val="lowerLetter"/>
      <w:lvlText w:val="%2."/>
      <w:lvlJc w:val="left"/>
      <w:pPr>
        <w:tabs>
          <w:tab w:val="num" w:pos="1035"/>
        </w:tabs>
        <w:ind w:left="1035" w:hanging="360"/>
      </w:pPr>
      <w:rPr>
        <w:rFonts w:cs="Times New Roman"/>
      </w:rPr>
    </w:lvl>
    <w:lvl w:ilvl="2" w:tplc="0C0A001B">
      <w:start w:val="1"/>
      <w:numFmt w:val="lowerRoman"/>
      <w:lvlText w:val="%3."/>
      <w:lvlJc w:val="right"/>
      <w:pPr>
        <w:tabs>
          <w:tab w:val="num" w:pos="1755"/>
        </w:tabs>
        <w:ind w:left="1755" w:hanging="180"/>
      </w:pPr>
      <w:rPr>
        <w:rFonts w:cs="Times New Roman"/>
      </w:rPr>
    </w:lvl>
    <w:lvl w:ilvl="3" w:tplc="266ECCFA">
      <w:start w:val="1"/>
      <w:numFmt w:val="lowerRoman"/>
      <w:lvlText w:val="%4."/>
      <w:lvlJc w:val="left"/>
      <w:pPr>
        <w:tabs>
          <w:tab w:val="num" w:pos="2475"/>
        </w:tabs>
        <w:ind w:left="2475" w:hanging="360"/>
      </w:pPr>
      <w:rPr>
        <w:rFonts w:ascii="Arial" w:eastAsia="Times New Roman" w:hAnsi="Arial" w:cs="Times New Roman"/>
      </w:rPr>
    </w:lvl>
    <w:lvl w:ilvl="4" w:tplc="0C0A0019">
      <w:start w:val="1"/>
      <w:numFmt w:val="lowerLetter"/>
      <w:lvlText w:val="%5."/>
      <w:lvlJc w:val="left"/>
      <w:pPr>
        <w:tabs>
          <w:tab w:val="num" w:pos="3195"/>
        </w:tabs>
        <w:ind w:left="3195" w:hanging="360"/>
      </w:pPr>
      <w:rPr>
        <w:rFonts w:cs="Times New Roman"/>
      </w:rPr>
    </w:lvl>
    <w:lvl w:ilvl="5" w:tplc="0C0A001B" w:tentative="1">
      <w:start w:val="1"/>
      <w:numFmt w:val="lowerRoman"/>
      <w:lvlText w:val="%6."/>
      <w:lvlJc w:val="right"/>
      <w:pPr>
        <w:tabs>
          <w:tab w:val="num" w:pos="3915"/>
        </w:tabs>
        <w:ind w:left="3915" w:hanging="180"/>
      </w:pPr>
      <w:rPr>
        <w:rFonts w:cs="Times New Roman"/>
      </w:rPr>
    </w:lvl>
    <w:lvl w:ilvl="6" w:tplc="0C0A000F" w:tentative="1">
      <w:start w:val="1"/>
      <w:numFmt w:val="decimal"/>
      <w:lvlText w:val="%7."/>
      <w:lvlJc w:val="left"/>
      <w:pPr>
        <w:tabs>
          <w:tab w:val="num" w:pos="4635"/>
        </w:tabs>
        <w:ind w:left="4635" w:hanging="360"/>
      </w:pPr>
      <w:rPr>
        <w:rFonts w:cs="Times New Roman"/>
      </w:rPr>
    </w:lvl>
    <w:lvl w:ilvl="7" w:tplc="0C0A0019" w:tentative="1">
      <w:start w:val="1"/>
      <w:numFmt w:val="lowerLetter"/>
      <w:lvlText w:val="%8."/>
      <w:lvlJc w:val="left"/>
      <w:pPr>
        <w:tabs>
          <w:tab w:val="num" w:pos="5355"/>
        </w:tabs>
        <w:ind w:left="5355" w:hanging="360"/>
      </w:pPr>
      <w:rPr>
        <w:rFonts w:cs="Times New Roman"/>
      </w:rPr>
    </w:lvl>
    <w:lvl w:ilvl="8" w:tplc="0C0A001B" w:tentative="1">
      <w:start w:val="1"/>
      <w:numFmt w:val="lowerRoman"/>
      <w:lvlText w:val="%9."/>
      <w:lvlJc w:val="right"/>
      <w:pPr>
        <w:tabs>
          <w:tab w:val="num" w:pos="6075"/>
        </w:tabs>
        <w:ind w:left="6075" w:hanging="180"/>
      </w:pPr>
      <w:rPr>
        <w:rFonts w:cs="Times New Roman"/>
      </w:rPr>
    </w:lvl>
  </w:abstractNum>
  <w:abstractNum w:abstractNumId="5">
    <w:nsid w:val="0D89661A"/>
    <w:multiLevelType w:val="hybridMultilevel"/>
    <w:tmpl w:val="78D61FF0"/>
    <w:lvl w:ilvl="0" w:tplc="8806F85E">
      <w:start w:val="1"/>
      <w:numFmt w:val="decimal"/>
      <w:lvlText w:val="%1."/>
      <w:lvlJc w:val="left"/>
      <w:pPr>
        <w:tabs>
          <w:tab w:val="num" w:pos="454"/>
        </w:tabs>
        <w:ind w:left="454" w:hanging="454"/>
      </w:pPr>
      <w:rPr>
        <w:rFonts w:ascii="Tahoma" w:hAnsi="Tahoma" w:cs="Tahoma" w:hint="default"/>
        <w:b/>
        <w:i w:val="0"/>
        <w:outline w:val="0"/>
        <w:shadow/>
        <w:emboss w:val="0"/>
        <w:imprint w:val="0"/>
        <w:color w:val="auto"/>
        <w:sz w:val="20"/>
        <w:szCs w:val="20"/>
        <w:u w:color="FFFFFF"/>
        <w:effect w:val="none"/>
      </w:rPr>
    </w:lvl>
    <w:lvl w:ilvl="1" w:tplc="5BA68C46">
      <w:start w:val="1"/>
      <w:numFmt w:val="lowerRoman"/>
      <w:lvlText w:val="(%2)"/>
      <w:lvlJc w:val="left"/>
      <w:pPr>
        <w:tabs>
          <w:tab w:val="num" w:pos="1800"/>
        </w:tabs>
        <w:ind w:left="1800" w:hanging="720"/>
      </w:pPr>
      <w:rPr>
        <w:b/>
      </w:rPr>
    </w:lvl>
    <w:lvl w:ilvl="2" w:tplc="91224666">
      <w:start w:val="1"/>
      <w:numFmt w:val="lowerRoman"/>
      <w:lvlText w:val="%3."/>
      <w:lvlJc w:val="left"/>
      <w:pPr>
        <w:tabs>
          <w:tab w:val="num" w:pos="1800"/>
        </w:tabs>
        <w:ind w:left="1800" w:hanging="720"/>
      </w:pPr>
      <w:rPr>
        <w:b/>
      </w:rPr>
    </w:lvl>
    <w:lvl w:ilvl="3" w:tplc="E034C060">
      <w:start w:val="1"/>
      <w:numFmt w:val="lowerLetter"/>
      <w:lvlText w:val="%4."/>
      <w:lvlJc w:val="left"/>
      <w:pPr>
        <w:tabs>
          <w:tab w:val="num" w:pos="2880"/>
        </w:tabs>
        <w:ind w:left="2880" w:hanging="360"/>
      </w:pPr>
      <w:rPr>
        <w:b/>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6">
    <w:nsid w:val="0DEF2BAD"/>
    <w:multiLevelType w:val="hybridMultilevel"/>
    <w:tmpl w:val="A86A7474"/>
    <w:lvl w:ilvl="0" w:tplc="F7AC05C6">
      <w:start w:val="1"/>
      <w:numFmt w:val="decimal"/>
      <w:lvlText w:val="%1)"/>
      <w:lvlJc w:val="left"/>
      <w:pPr>
        <w:ind w:left="786" w:hanging="360"/>
      </w:pPr>
      <w:rPr>
        <w:rFonts w:hint="default"/>
        <w:b w:val="0"/>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7">
    <w:nsid w:val="15F17DB2"/>
    <w:multiLevelType w:val="hybridMultilevel"/>
    <w:tmpl w:val="49F0EA04"/>
    <w:lvl w:ilvl="0" w:tplc="C08A2646">
      <w:start w:val="1"/>
      <w:numFmt w:val="decimal"/>
      <w:lvlText w:val="%1."/>
      <w:lvlJc w:val="left"/>
      <w:pPr>
        <w:tabs>
          <w:tab w:val="num" w:pos="720"/>
        </w:tabs>
        <w:ind w:left="720" w:hanging="360"/>
      </w:pPr>
      <w:rPr>
        <w:rFonts w:ascii="Bookman Old Style" w:hAnsi="Bookman Old Style" w:cs="Tahoma" w:hint="default"/>
        <w:b/>
        <w:i w:val="0"/>
        <w:sz w:val="23"/>
        <w:szCs w:val="23"/>
      </w:rPr>
    </w:lvl>
    <w:lvl w:ilvl="1" w:tplc="280A0019">
      <w:start w:val="1"/>
      <w:numFmt w:val="lowerLetter"/>
      <w:lvlText w:val="%2."/>
      <w:lvlJc w:val="left"/>
      <w:pPr>
        <w:tabs>
          <w:tab w:val="num" w:pos="1440"/>
        </w:tabs>
        <w:ind w:left="1440" w:hanging="360"/>
      </w:pPr>
      <w:rPr>
        <w:rFonts w:cs="Times New Roman"/>
      </w:rPr>
    </w:lvl>
    <w:lvl w:ilvl="2" w:tplc="280A001B" w:tentative="1">
      <w:start w:val="1"/>
      <w:numFmt w:val="lowerRoman"/>
      <w:lvlText w:val="%3."/>
      <w:lvlJc w:val="right"/>
      <w:pPr>
        <w:tabs>
          <w:tab w:val="num" w:pos="2160"/>
        </w:tabs>
        <w:ind w:left="2160" w:hanging="180"/>
      </w:pPr>
      <w:rPr>
        <w:rFonts w:cs="Times New Roman"/>
      </w:rPr>
    </w:lvl>
    <w:lvl w:ilvl="3" w:tplc="280A000F" w:tentative="1">
      <w:start w:val="1"/>
      <w:numFmt w:val="decimal"/>
      <w:lvlText w:val="%4."/>
      <w:lvlJc w:val="left"/>
      <w:pPr>
        <w:tabs>
          <w:tab w:val="num" w:pos="2880"/>
        </w:tabs>
        <w:ind w:left="2880" w:hanging="360"/>
      </w:pPr>
      <w:rPr>
        <w:rFonts w:cs="Times New Roman"/>
      </w:rPr>
    </w:lvl>
    <w:lvl w:ilvl="4" w:tplc="280A0019" w:tentative="1">
      <w:start w:val="1"/>
      <w:numFmt w:val="lowerLetter"/>
      <w:lvlText w:val="%5."/>
      <w:lvlJc w:val="left"/>
      <w:pPr>
        <w:tabs>
          <w:tab w:val="num" w:pos="3600"/>
        </w:tabs>
        <w:ind w:left="3600" w:hanging="360"/>
      </w:pPr>
      <w:rPr>
        <w:rFonts w:cs="Times New Roman"/>
      </w:rPr>
    </w:lvl>
    <w:lvl w:ilvl="5" w:tplc="280A001B" w:tentative="1">
      <w:start w:val="1"/>
      <w:numFmt w:val="lowerRoman"/>
      <w:lvlText w:val="%6."/>
      <w:lvlJc w:val="right"/>
      <w:pPr>
        <w:tabs>
          <w:tab w:val="num" w:pos="4320"/>
        </w:tabs>
        <w:ind w:left="4320" w:hanging="180"/>
      </w:pPr>
      <w:rPr>
        <w:rFonts w:cs="Times New Roman"/>
      </w:rPr>
    </w:lvl>
    <w:lvl w:ilvl="6" w:tplc="280A000F" w:tentative="1">
      <w:start w:val="1"/>
      <w:numFmt w:val="decimal"/>
      <w:lvlText w:val="%7."/>
      <w:lvlJc w:val="left"/>
      <w:pPr>
        <w:tabs>
          <w:tab w:val="num" w:pos="5040"/>
        </w:tabs>
        <w:ind w:left="5040" w:hanging="360"/>
      </w:pPr>
      <w:rPr>
        <w:rFonts w:cs="Times New Roman"/>
      </w:rPr>
    </w:lvl>
    <w:lvl w:ilvl="7" w:tplc="280A0019" w:tentative="1">
      <w:start w:val="1"/>
      <w:numFmt w:val="lowerLetter"/>
      <w:lvlText w:val="%8."/>
      <w:lvlJc w:val="left"/>
      <w:pPr>
        <w:tabs>
          <w:tab w:val="num" w:pos="5760"/>
        </w:tabs>
        <w:ind w:left="5760" w:hanging="360"/>
      </w:pPr>
      <w:rPr>
        <w:rFonts w:cs="Times New Roman"/>
      </w:rPr>
    </w:lvl>
    <w:lvl w:ilvl="8" w:tplc="280A001B" w:tentative="1">
      <w:start w:val="1"/>
      <w:numFmt w:val="lowerRoman"/>
      <w:lvlText w:val="%9."/>
      <w:lvlJc w:val="right"/>
      <w:pPr>
        <w:tabs>
          <w:tab w:val="num" w:pos="6480"/>
        </w:tabs>
        <w:ind w:left="6480" w:hanging="180"/>
      </w:pPr>
      <w:rPr>
        <w:rFonts w:cs="Times New Roman"/>
      </w:rPr>
    </w:lvl>
  </w:abstractNum>
  <w:abstractNum w:abstractNumId="8">
    <w:nsid w:val="16C9597D"/>
    <w:multiLevelType w:val="hybridMultilevel"/>
    <w:tmpl w:val="C428DCE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18D5498A"/>
    <w:multiLevelType w:val="hybridMultilevel"/>
    <w:tmpl w:val="7876D94C"/>
    <w:lvl w:ilvl="0" w:tplc="764CAD72">
      <w:start w:val="1"/>
      <w:numFmt w:val="decimal"/>
      <w:lvlText w:val="%1)"/>
      <w:lvlJc w:val="left"/>
      <w:pPr>
        <w:ind w:left="3060" w:hanging="360"/>
      </w:pPr>
      <w:rPr>
        <w:rFonts w:hint="default"/>
      </w:rPr>
    </w:lvl>
    <w:lvl w:ilvl="1" w:tplc="0C0A0019" w:tentative="1">
      <w:start w:val="1"/>
      <w:numFmt w:val="lowerLetter"/>
      <w:lvlText w:val="%2."/>
      <w:lvlJc w:val="left"/>
      <w:pPr>
        <w:ind w:left="3780" w:hanging="360"/>
      </w:pPr>
    </w:lvl>
    <w:lvl w:ilvl="2" w:tplc="0C0A001B" w:tentative="1">
      <w:start w:val="1"/>
      <w:numFmt w:val="lowerRoman"/>
      <w:lvlText w:val="%3."/>
      <w:lvlJc w:val="right"/>
      <w:pPr>
        <w:ind w:left="4500" w:hanging="180"/>
      </w:pPr>
    </w:lvl>
    <w:lvl w:ilvl="3" w:tplc="0C0A000F" w:tentative="1">
      <w:start w:val="1"/>
      <w:numFmt w:val="decimal"/>
      <w:lvlText w:val="%4."/>
      <w:lvlJc w:val="left"/>
      <w:pPr>
        <w:ind w:left="5220" w:hanging="360"/>
      </w:pPr>
    </w:lvl>
    <w:lvl w:ilvl="4" w:tplc="0C0A0019" w:tentative="1">
      <w:start w:val="1"/>
      <w:numFmt w:val="lowerLetter"/>
      <w:lvlText w:val="%5."/>
      <w:lvlJc w:val="left"/>
      <w:pPr>
        <w:ind w:left="5940" w:hanging="360"/>
      </w:pPr>
    </w:lvl>
    <w:lvl w:ilvl="5" w:tplc="0C0A001B" w:tentative="1">
      <w:start w:val="1"/>
      <w:numFmt w:val="lowerRoman"/>
      <w:lvlText w:val="%6."/>
      <w:lvlJc w:val="right"/>
      <w:pPr>
        <w:ind w:left="6660" w:hanging="180"/>
      </w:pPr>
    </w:lvl>
    <w:lvl w:ilvl="6" w:tplc="0C0A000F" w:tentative="1">
      <w:start w:val="1"/>
      <w:numFmt w:val="decimal"/>
      <w:lvlText w:val="%7."/>
      <w:lvlJc w:val="left"/>
      <w:pPr>
        <w:ind w:left="7380" w:hanging="360"/>
      </w:pPr>
    </w:lvl>
    <w:lvl w:ilvl="7" w:tplc="0C0A0019" w:tentative="1">
      <w:start w:val="1"/>
      <w:numFmt w:val="lowerLetter"/>
      <w:lvlText w:val="%8."/>
      <w:lvlJc w:val="left"/>
      <w:pPr>
        <w:ind w:left="8100" w:hanging="360"/>
      </w:pPr>
    </w:lvl>
    <w:lvl w:ilvl="8" w:tplc="0C0A001B" w:tentative="1">
      <w:start w:val="1"/>
      <w:numFmt w:val="lowerRoman"/>
      <w:lvlText w:val="%9."/>
      <w:lvlJc w:val="right"/>
      <w:pPr>
        <w:ind w:left="8820" w:hanging="180"/>
      </w:pPr>
    </w:lvl>
  </w:abstractNum>
  <w:abstractNum w:abstractNumId="10">
    <w:nsid w:val="21805A83"/>
    <w:multiLevelType w:val="hybridMultilevel"/>
    <w:tmpl w:val="64184E90"/>
    <w:lvl w:ilvl="0" w:tplc="7E8E7EEE">
      <w:start w:val="1"/>
      <w:numFmt w:val="decimal"/>
      <w:lvlText w:val="%1."/>
      <w:lvlJc w:val="left"/>
      <w:pPr>
        <w:ind w:left="360" w:hanging="360"/>
      </w:pPr>
      <w:rPr>
        <w:rFonts w:ascii="Tahoma" w:hAnsi="Tahoma" w:cs="Tahoma" w:hint="default"/>
        <w:b/>
        <w:i w:val="0"/>
        <w:sz w:val="20"/>
        <w:szCs w:val="20"/>
      </w:rPr>
    </w:lvl>
    <w:lvl w:ilvl="1" w:tplc="0C0A0019">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1">
    <w:nsid w:val="247545FB"/>
    <w:multiLevelType w:val="hybridMultilevel"/>
    <w:tmpl w:val="DA6C0BD4"/>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2">
    <w:nsid w:val="285A5154"/>
    <w:multiLevelType w:val="hybridMultilevel"/>
    <w:tmpl w:val="A20070AC"/>
    <w:lvl w:ilvl="0" w:tplc="FE3E564C">
      <w:start w:val="1"/>
      <w:numFmt w:val="decimal"/>
      <w:lvlText w:val="%1."/>
      <w:lvlJc w:val="left"/>
      <w:pPr>
        <w:tabs>
          <w:tab w:val="num" w:pos="720"/>
        </w:tabs>
        <w:ind w:left="720" w:hanging="360"/>
      </w:pPr>
      <w:rPr>
        <w:rFonts w:ascii="Book Antiqua" w:eastAsia="Times New Roman" w:hAnsi="Book Antiqua" w:cs="Tahoma" w:hint="default"/>
        <w:b/>
      </w:rPr>
    </w:lvl>
    <w:lvl w:ilvl="1" w:tplc="A0B845A2">
      <w:start w:val="1"/>
      <w:numFmt w:val="lowerLetter"/>
      <w:lvlText w:val="%2."/>
      <w:lvlJc w:val="left"/>
      <w:pPr>
        <w:tabs>
          <w:tab w:val="num" w:pos="1440"/>
        </w:tabs>
        <w:ind w:left="1440" w:hanging="360"/>
      </w:pPr>
      <w:rPr>
        <w:rFonts w:hint="default"/>
        <w:b w:val="0"/>
      </w:rPr>
    </w:lvl>
    <w:lvl w:ilvl="2" w:tplc="0C0A001B">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C864304"/>
    <w:multiLevelType w:val="hybridMultilevel"/>
    <w:tmpl w:val="4594A746"/>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4">
    <w:nsid w:val="2C9507CC"/>
    <w:multiLevelType w:val="hybridMultilevel"/>
    <w:tmpl w:val="A844AF0E"/>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5">
    <w:nsid w:val="33381E42"/>
    <w:multiLevelType w:val="hybridMultilevel"/>
    <w:tmpl w:val="051EB870"/>
    <w:lvl w:ilvl="0" w:tplc="2F485430">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37D7E66"/>
    <w:multiLevelType w:val="hybridMultilevel"/>
    <w:tmpl w:val="A60CAAEE"/>
    <w:lvl w:ilvl="0" w:tplc="0C0A0001">
      <w:start w:val="1"/>
      <w:numFmt w:val="bullet"/>
      <w:lvlText w:val=""/>
      <w:lvlJc w:val="left"/>
      <w:pPr>
        <w:ind w:left="2844" w:hanging="360"/>
      </w:pPr>
      <w:rPr>
        <w:rFonts w:ascii="Symbol" w:hAnsi="Symbol" w:hint="default"/>
      </w:rPr>
    </w:lvl>
    <w:lvl w:ilvl="1" w:tplc="0C0A0003">
      <w:start w:val="1"/>
      <w:numFmt w:val="bullet"/>
      <w:lvlText w:val="o"/>
      <w:lvlJc w:val="left"/>
      <w:pPr>
        <w:ind w:left="3564" w:hanging="360"/>
      </w:pPr>
      <w:rPr>
        <w:rFonts w:ascii="Courier New" w:hAnsi="Courier New" w:cs="Courier New" w:hint="default"/>
      </w:rPr>
    </w:lvl>
    <w:lvl w:ilvl="2" w:tplc="0C0A0005" w:tentative="1">
      <w:start w:val="1"/>
      <w:numFmt w:val="bullet"/>
      <w:lvlText w:val=""/>
      <w:lvlJc w:val="left"/>
      <w:pPr>
        <w:ind w:left="4284" w:hanging="360"/>
      </w:pPr>
      <w:rPr>
        <w:rFonts w:ascii="Wingdings" w:hAnsi="Wingdings" w:hint="default"/>
      </w:rPr>
    </w:lvl>
    <w:lvl w:ilvl="3" w:tplc="0C0A0001" w:tentative="1">
      <w:start w:val="1"/>
      <w:numFmt w:val="bullet"/>
      <w:lvlText w:val=""/>
      <w:lvlJc w:val="left"/>
      <w:pPr>
        <w:ind w:left="5004" w:hanging="360"/>
      </w:pPr>
      <w:rPr>
        <w:rFonts w:ascii="Symbol" w:hAnsi="Symbol" w:hint="default"/>
      </w:rPr>
    </w:lvl>
    <w:lvl w:ilvl="4" w:tplc="0C0A0003" w:tentative="1">
      <w:start w:val="1"/>
      <w:numFmt w:val="bullet"/>
      <w:lvlText w:val="o"/>
      <w:lvlJc w:val="left"/>
      <w:pPr>
        <w:ind w:left="5724" w:hanging="360"/>
      </w:pPr>
      <w:rPr>
        <w:rFonts w:ascii="Courier New" w:hAnsi="Courier New" w:cs="Courier New" w:hint="default"/>
      </w:rPr>
    </w:lvl>
    <w:lvl w:ilvl="5" w:tplc="0C0A0005" w:tentative="1">
      <w:start w:val="1"/>
      <w:numFmt w:val="bullet"/>
      <w:lvlText w:val=""/>
      <w:lvlJc w:val="left"/>
      <w:pPr>
        <w:ind w:left="6444" w:hanging="360"/>
      </w:pPr>
      <w:rPr>
        <w:rFonts w:ascii="Wingdings" w:hAnsi="Wingdings" w:hint="default"/>
      </w:rPr>
    </w:lvl>
    <w:lvl w:ilvl="6" w:tplc="0C0A0001" w:tentative="1">
      <w:start w:val="1"/>
      <w:numFmt w:val="bullet"/>
      <w:lvlText w:val=""/>
      <w:lvlJc w:val="left"/>
      <w:pPr>
        <w:ind w:left="7164" w:hanging="360"/>
      </w:pPr>
      <w:rPr>
        <w:rFonts w:ascii="Symbol" w:hAnsi="Symbol" w:hint="default"/>
      </w:rPr>
    </w:lvl>
    <w:lvl w:ilvl="7" w:tplc="0C0A0003" w:tentative="1">
      <w:start w:val="1"/>
      <w:numFmt w:val="bullet"/>
      <w:lvlText w:val="o"/>
      <w:lvlJc w:val="left"/>
      <w:pPr>
        <w:ind w:left="7884" w:hanging="360"/>
      </w:pPr>
      <w:rPr>
        <w:rFonts w:ascii="Courier New" w:hAnsi="Courier New" w:cs="Courier New" w:hint="default"/>
      </w:rPr>
    </w:lvl>
    <w:lvl w:ilvl="8" w:tplc="0C0A0005" w:tentative="1">
      <w:start w:val="1"/>
      <w:numFmt w:val="bullet"/>
      <w:lvlText w:val=""/>
      <w:lvlJc w:val="left"/>
      <w:pPr>
        <w:ind w:left="8604" w:hanging="360"/>
      </w:pPr>
      <w:rPr>
        <w:rFonts w:ascii="Wingdings" w:hAnsi="Wingdings" w:hint="default"/>
      </w:rPr>
    </w:lvl>
  </w:abstractNum>
  <w:abstractNum w:abstractNumId="17">
    <w:nsid w:val="376908DC"/>
    <w:multiLevelType w:val="hybridMultilevel"/>
    <w:tmpl w:val="30BE4C22"/>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37C36E26"/>
    <w:multiLevelType w:val="hybridMultilevel"/>
    <w:tmpl w:val="D82CB878"/>
    <w:lvl w:ilvl="0" w:tplc="4EE07E18">
      <w:start w:val="1"/>
      <w:numFmt w:val="decimal"/>
      <w:lvlText w:val="%1."/>
      <w:lvlJc w:val="left"/>
      <w:pPr>
        <w:ind w:left="720" w:hanging="360"/>
      </w:pPr>
      <w:rPr>
        <w:rFonts w:ascii="Tahoma" w:hAnsi="Tahoma" w:cs="Tahoma" w:hint="default"/>
        <w:b/>
        <w:i w:val="0"/>
        <w:shadow/>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D507641"/>
    <w:multiLevelType w:val="hybridMultilevel"/>
    <w:tmpl w:val="CAAE1602"/>
    <w:lvl w:ilvl="0" w:tplc="14F44EA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0">
    <w:nsid w:val="40B7614D"/>
    <w:multiLevelType w:val="hybridMultilevel"/>
    <w:tmpl w:val="E698F4EC"/>
    <w:lvl w:ilvl="0" w:tplc="A2CE5C7E">
      <w:start w:val="1"/>
      <w:numFmt w:val="upperRoman"/>
      <w:lvlText w:val="(%1)"/>
      <w:lvlJc w:val="left"/>
      <w:pPr>
        <w:ind w:left="1287" w:hanging="720"/>
      </w:pPr>
      <w:rPr>
        <w:rFonts w:hint="default"/>
        <w:b/>
        <w:shadow/>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4E54315"/>
    <w:multiLevelType w:val="hybridMultilevel"/>
    <w:tmpl w:val="A0B24B96"/>
    <w:lvl w:ilvl="0" w:tplc="991A1610">
      <w:start w:val="1"/>
      <w:numFmt w:val="decimal"/>
      <w:lvlText w:val="%1."/>
      <w:lvlJc w:val="left"/>
      <w:pPr>
        <w:tabs>
          <w:tab w:val="num" w:pos="720"/>
        </w:tabs>
        <w:ind w:left="720" w:hanging="360"/>
      </w:pPr>
      <w:rPr>
        <w:rFonts w:ascii="Tahoma" w:hAnsi="Tahoma" w:cs="Tahoma" w:hint="default"/>
      </w:rPr>
    </w:lvl>
    <w:lvl w:ilvl="1" w:tplc="0C0A0001">
      <w:start w:val="1"/>
      <w:numFmt w:val="bullet"/>
      <w:lvlText w:val=""/>
      <w:lvlJc w:val="left"/>
      <w:pPr>
        <w:tabs>
          <w:tab w:val="num" w:pos="1440"/>
        </w:tabs>
        <w:ind w:left="1440" w:hanging="360"/>
      </w:pPr>
      <w:rPr>
        <w:rFonts w:ascii="Symbol" w:hAnsi="Symbol" w:hint="default"/>
      </w:rPr>
    </w:lvl>
    <w:lvl w:ilvl="2" w:tplc="675221B8">
      <w:start w:val="1"/>
      <w:numFmt w:val="lowerRoman"/>
      <w:lvlText w:val="%3)"/>
      <w:lvlJc w:val="left"/>
      <w:pPr>
        <w:tabs>
          <w:tab w:val="num" w:pos="2700"/>
        </w:tabs>
        <w:ind w:left="2700" w:hanging="720"/>
      </w:pPr>
      <w:rPr>
        <w:rFonts w:hint="default"/>
        <w:b/>
        <w:sz w:val="20"/>
      </w:rPr>
    </w:lvl>
    <w:lvl w:ilvl="3" w:tplc="34065274">
      <w:start w:val="1"/>
      <w:numFmt w:val="upperRoman"/>
      <w:lvlText w:val="%4)"/>
      <w:lvlJc w:val="left"/>
      <w:pPr>
        <w:tabs>
          <w:tab w:val="num" w:pos="1980"/>
        </w:tabs>
        <w:ind w:left="1980" w:hanging="720"/>
      </w:pPr>
      <w:rPr>
        <w:rFonts w:hint="default"/>
        <w:b/>
        <w:sz w:val="20"/>
      </w:rPr>
    </w:lvl>
    <w:lvl w:ilvl="4" w:tplc="F5767944">
      <w:start w:val="1"/>
      <w:numFmt w:val="decimal"/>
      <w:lvlText w:val="%5."/>
      <w:lvlJc w:val="left"/>
      <w:pPr>
        <w:tabs>
          <w:tab w:val="num" w:pos="3600"/>
        </w:tabs>
        <w:ind w:left="3600" w:hanging="360"/>
      </w:pPr>
      <w:rPr>
        <w:rFonts w:ascii="Tahoma" w:hAnsi="Tahoma" w:cs="Tahoma" w:hint="default"/>
        <w:b w:val="0"/>
        <w:i w:val="0"/>
      </w:rPr>
    </w:lvl>
    <w:lvl w:ilvl="5" w:tplc="A66042F8">
      <w:start w:val="1"/>
      <w:numFmt w:val="decimal"/>
      <w:lvlText w:val="%6."/>
      <w:lvlJc w:val="left"/>
      <w:pPr>
        <w:tabs>
          <w:tab w:val="num" w:pos="4560"/>
        </w:tabs>
        <w:ind w:left="4560" w:hanging="420"/>
      </w:pPr>
      <w:rPr>
        <w:rFonts w:hint="default"/>
      </w:rPr>
    </w:lvl>
    <w:lvl w:ilvl="6" w:tplc="194E35DC">
      <w:start w:val="1"/>
      <w:numFmt w:val="decimal"/>
      <w:lvlText w:val="%7"/>
      <w:lvlJc w:val="left"/>
      <w:pPr>
        <w:tabs>
          <w:tab w:val="num" w:pos="5040"/>
        </w:tabs>
        <w:ind w:left="5040" w:hanging="360"/>
      </w:pPr>
      <w:rPr>
        <w:rFonts w:hint="default"/>
      </w:rPr>
    </w:lvl>
    <w:lvl w:ilvl="7" w:tplc="2DD0F130">
      <w:start w:val="1"/>
      <w:numFmt w:val="decimal"/>
      <w:lvlText w:val="%8)"/>
      <w:lvlJc w:val="left"/>
      <w:pPr>
        <w:ind w:left="5760" w:hanging="360"/>
      </w:pPr>
      <w:rPr>
        <w:rFonts w:hint="default"/>
      </w:rPr>
    </w:lvl>
    <w:lvl w:ilvl="8" w:tplc="0C0A001B" w:tentative="1">
      <w:start w:val="1"/>
      <w:numFmt w:val="lowerRoman"/>
      <w:lvlText w:val="%9."/>
      <w:lvlJc w:val="right"/>
      <w:pPr>
        <w:tabs>
          <w:tab w:val="num" w:pos="6480"/>
        </w:tabs>
        <w:ind w:left="6480" w:hanging="180"/>
      </w:pPr>
    </w:lvl>
  </w:abstractNum>
  <w:abstractNum w:abstractNumId="22">
    <w:nsid w:val="4A2701C9"/>
    <w:multiLevelType w:val="hybridMultilevel"/>
    <w:tmpl w:val="E7345F18"/>
    <w:lvl w:ilvl="0" w:tplc="070CBF92">
      <w:start w:val="1"/>
      <w:numFmt w:val="lowerLetter"/>
      <w:lvlText w:val="%1)"/>
      <w:lvlJc w:val="left"/>
      <w:pPr>
        <w:ind w:left="814" w:hanging="360"/>
      </w:pPr>
      <w:rPr>
        <w:rFonts w:hint="default"/>
      </w:rPr>
    </w:lvl>
    <w:lvl w:ilvl="1" w:tplc="0C0A0019" w:tentative="1">
      <w:start w:val="1"/>
      <w:numFmt w:val="lowerLetter"/>
      <w:lvlText w:val="%2."/>
      <w:lvlJc w:val="left"/>
      <w:pPr>
        <w:ind w:left="1534" w:hanging="360"/>
      </w:pPr>
    </w:lvl>
    <w:lvl w:ilvl="2" w:tplc="0C0A001B" w:tentative="1">
      <w:start w:val="1"/>
      <w:numFmt w:val="lowerRoman"/>
      <w:lvlText w:val="%3."/>
      <w:lvlJc w:val="right"/>
      <w:pPr>
        <w:ind w:left="2254" w:hanging="180"/>
      </w:pPr>
    </w:lvl>
    <w:lvl w:ilvl="3" w:tplc="0C0A000F" w:tentative="1">
      <w:start w:val="1"/>
      <w:numFmt w:val="decimal"/>
      <w:lvlText w:val="%4."/>
      <w:lvlJc w:val="left"/>
      <w:pPr>
        <w:ind w:left="2974" w:hanging="360"/>
      </w:pPr>
    </w:lvl>
    <w:lvl w:ilvl="4" w:tplc="0C0A0019" w:tentative="1">
      <w:start w:val="1"/>
      <w:numFmt w:val="lowerLetter"/>
      <w:lvlText w:val="%5."/>
      <w:lvlJc w:val="left"/>
      <w:pPr>
        <w:ind w:left="3694" w:hanging="360"/>
      </w:pPr>
    </w:lvl>
    <w:lvl w:ilvl="5" w:tplc="0C0A001B" w:tentative="1">
      <w:start w:val="1"/>
      <w:numFmt w:val="lowerRoman"/>
      <w:lvlText w:val="%6."/>
      <w:lvlJc w:val="right"/>
      <w:pPr>
        <w:ind w:left="4414" w:hanging="180"/>
      </w:pPr>
    </w:lvl>
    <w:lvl w:ilvl="6" w:tplc="0C0A000F" w:tentative="1">
      <w:start w:val="1"/>
      <w:numFmt w:val="decimal"/>
      <w:lvlText w:val="%7."/>
      <w:lvlJc w:val="left"/>
      <w:pPr>
        <w:ind w:left="5134" w:hanging="360"/>
      </w:pPr>
    </w:lvl>
    <w:lvl w:ilvl="7" w:tplc="0C0A0019" w:tentative="1">
      <w:start w:val="1"/>
      <w:numFmt w:val="lowerLetter"/>
      <w:lvlText w:val="%8."/>
      <w:lvlJc w:val="left"/>
      <w:pPr>
        <w:ind w:left="5854" w:hanging="360"/>
      </w:pPr>
    </w:lvl>
    <w:lvl w:ilvl="8" w:tplc="0C0A001B" w:tentative="1">
      <w:start w:val="1"/>
      <w:numFmt w:val="lowerRoman"/>
      <w:lvlText w:val="%9."/>
      <w:lvlJc w:val="right"/>
      <w:pPr>
        <w:ind w:left="6574" w:hanging="180"/>
      </w:pPr>
    </w:lvl>
  </w:abstractNum>
  <w:abstractNum w:abstractNumId="23">
    <w:nsid w:val="4D086335"/>
    <w:multiLevelType w:val="hybridMultilevel"/>
    <w:tmpl w:val="439E7B1E"/>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4">
    <w:nsid w:val="52C525D7"/>
    <w:multiLevelType w:val="singleLevel"/>
    <w:tmpl w:val="3630576C"/>
    <w:lvl w:ilvl="0">
      <w:start w:val="1"/>
      <w:numFmt w:val="decimal"/>
      <w:lvlText w:val="%1."/>
      <w:legacy w:legacy="1" w:legacySpace="0" w:legacyIndent="360"/>
      <w:lvlJc w:val="left"/>
      <w:rPr>
        <w:rFonts w:ascii="Tahoma" w:hAnsi="Tahoma" w:cs="Tahoma" w:hint="default"/>
        <w:b/>
      </w:rPr>
    </w:lvl>
  </w:abstractNum>
  <w:abstractNum w:abstractNumId="25">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26">
    <w:nsid w:val="54923656"/>
    <w:multiLevelType w:val="hybridMultilevel"/>
    <w:tmpl w:val="66A89214"/>
    <w:lvl w:ilvl="0" w:tplc="0C0A001B">
      <w:start w:val="1"/>
      <w:numFmt w:val="lowerRoman"/>
      <w:lvlText w:val="%1."/>
      <w:lvlJc w:val="right"/>
      <w:pPr>
        <w:ind w:left="1146" w:hanging="360"/>
      </w:p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27">
    <w:nsid w:val="560E2B07"/>
    <w:multiLevelType w:val="multilevel"/>
    <w:tmpl w:val="6DF482B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C3F1D62"/>
    <w:multiLevelType w:val="hybridMultilevel"/>
    <w:tmpl w:val="C798931A"/>
    <w:lvl w:ilvl="0" w:tplc="6BB69D48">
      <w:start w:val="1"/>
      <w:numFmt w:val="decimal"/>
      <w:lvlText w:val="%1."/>
      <w:lvlJc w:val="left"/>
      <w:pPr>
        <w:tabs>
          <w:tab w:val="num" w:pos="454"/>
        </w:tabs>
        <w:ind w:left="454" w:hanging="454"/>
      </w:pPr>
      <w:rPr>
        <w:rFonts w:ascii="Tahoma" w:hAnsi="Tahoma" w:cs="Tahoma" w:hint="default"/>
        <w:b/>
        <w:i w:val="0"/>
        <w:shadow w:val="0"/>
        <w:sz w:val="20"/>
        <w:szCs w:val="20"/>
        <w:u w:color="FFFFFF"/>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5DBA025C"/>
    <w:multiLevelType w:val="singleLevel"/>
    <w:tmpl w:val="3630576C"/>
    <w:lvl w:ilvl="0">
      <w:start w:val="1"/>
      <w:numFmt w:val="decimal"/>
      <w:lvlText w:val="%1."/>
      <w:legacy w:legacy="1" w:legacySpace="0" w:legacyIndent="360"/>
      <w:lvlJc w:val="left"/>
      <w:rPr>
        <w:rFonts w:ascii="Tahoma" w:hAnsi="Tahoma" w:cs="Tahoma" w:hint="default"/>
        <w:b/>
      </w:rPr>
    </w:lvl>
  </w:abstractNum>
  <w:abstractNum w:abstractNumId="30">
    <w:nsid w:val="5EF828F8"/>
    <w:multiLevelType w:val="hybridMultilevel"/>
    <w:tmpl w:val="7876D94C"/>
    <w:lvl w:ilvl="0" w:tplc="764CAD72">
      <w:start w:val="1"/>
      <w:numFmt w:val="decimal"/>
      <w:lvlText w:val="%1)"/>
      <w:lvlJc w:val="left"/>
      <w:pPr>
        <w:ind w:left="3060" w:hanging="360"/>
      </w:pPr>
      <w:rPr>
        <w:rFonts w:hint="default"/>
      </w:rPr>
    </w:lvl>
    <w:lvl w:ilvl="1" w:tplc="0C0A0019" w:tentative="1">
      <w:start w:val="1"/>
      <w:numFmt w:val="lowerLetter"/>
      <w:lvlText w:val="%2."/>
      <w:lvlJc w:val="left"/>
      <w:pPr>
        <w:ind w:left="3780" w:hanging="360"/>
      </w:pPr>
    </w:lvl>
    <w:lvl w:ilvl="2" w:tplc="0C0A001B" w:tentative="1">
      <w:start w:val="1"/>
      <w:numFmt w:val="lowerRoman"/>
      <w:lvlText w:val="%3."/>
      <w:lvlJc w:val="right"/>
      <w:pPr>
        <w:ind w:left="4500" w:hanging="180"/>
      </w:pPr>
    </w:lvl>
    <w:lvl w:ilvl="3" w:tplc="0C0A000F" w:tentative="1">
      <w:start w:val="1"/>
      <w:numFmt w:val="decimal"/>
      <w:lvlText w:val="%4."/>
      <w:lvlJc w:val="left"/>
      <w:pPr>
        <w:ind w:left="5220" w:hanging="360"/>
      </w:pPr>
    </w:lvl>
    <w:lvl w:ilvl="4" w:tplc="0C0A0019" w:tentative="1">
      <w:start w:val="1"/>
      <w:numFmt w:val="lowerLetter"/>
      <w:lvlText w:val="%5."/>
      <w:lvlJc w:val="left"/>
      <w:pPr>
        <w:ind w:left="5940" w:hanging="360"/>
      </w:pPr>
    </w:lvl>
    <w:lvl w:ilvl="5" w:tplc="0C0A001B" w:tentative="1">
      <w:start w:val="1"/>
      <w:numFmt w:val="lowerRoman"/>
      <w:lvlText w:val="%6."/>
      <w:lvlJc w:val="right"/>
      <w:pPr>
        <w:ind w:left="6660" w:hanging="180"/>
      </w:pPr>
    </w:lvl>
    <w:lvl w:ilvl="6" w:tplc="0C0A000F" w:tentative="1">
      <w:start w:val="1"/>
      <w:numFmt w:val="decimal"/>
      <w:lvlText w:val="%7."/>
      <w:lvlJc w:val="left"/>
      <w:pPr>
        <w:ind w:left="7380" w:hanging="360"/>
      </w:pPr>
    </w:lvl>
    <w:lvl w:ilvl="7" w:tplc="0C0A0019" w:tentative="1">
      <w:start w:val="1"/>
      <w:numFmt w:val="lowerLetter"/>
      <w:lvlText w:val="%8."/>
      <w:lvlJc w:val="left"/>
      <w:pPr>
        <w:ind w:left="8100" w:hanging="360"/>
      </w:pPr>
    </w:lvl>
    <w:lvl w:ilvl="8" w:tplc="0C0A001B" w:tentative="1">
      <w:start w:val="1"/>
      <w:numFmt w:val="lowerRoman"/>
      <w:lvlText w:val="%9."/>
      <w:lvlJc w:val="right"/>
      <w:pPr>
        <w:ind w:left="8820" w:hanging="180"/>
      </w:pPr>
    </w:lvl>
  </w:abstractNum>
  <w:abstractNum w:abstractNumId="31">
    <w:nsid w:val="621175EF"/>
    <w:multiLevelType w:val="singleLevel"/>
    <w:tmpl w:val="3630576C"/>
    <w:lvl w:ilvl="0">
      <w:start w:val="1"/>
      <w:numFmt w:val="decimal"/>
      <w:lvlText w:val="%1."/>
      <w:legacy w:legacy="1" w:legacySpace="0" w:legacyIndent="360"/>
      <w:lvlJc w:val="left"/>
      <w:rPr>
        <w:rFonts w:ascii="Tahoma" w:hAnsi="Tahoma" w:cs="Tahoma" w:hint="default"/>
        <w:b/>
      </w:rPr>
    </w:lvl>
  </w:abstractNum>
  <w:abstractNum w:abstractNumId="32">
    <w:nsid w:val="63922F6D"/>
    <w:multiLevelType w:val="hybridMultilevel"/>
    <w:tmpl w:val="66A89214"/>
    <w:lvl w:ilvl="0" w:tplc="0C0A001B">
      <w:start w:val="1"/>
      <w:numFmt w:val="lowerRoman"/>
      <w:lvlText w:val="%1."/>
      <w:lvlJc w:val="right"/>
      <w:pPr>
        <w:ind w:left="1146" w:hanging="360"/>
      </w:pPr>
    </w:lvl>
    <w:lvl w:ilvl="1" w:tplc="0C0A0019" w:tentative="1">
      <w:start w:val="1"/>
      <w:numFmt w:val="lowerLetter"/>
      <w:lvlText w:val="%2."/>
      <w:lvlJc w:val="left"/>
      <w:pPr>
        <w:ind w:left="1866" w:hanging="360"/>
      </w:pPr>
    </w:lvl>
    <w:lvl w:ilvl="2" w:tplc="0C0A001B" w:tentative="1">
      <w:start w:val="1"/>
      <w:numFmt w:val="lowerRoman"/>
      <w:lvlText w:val="%3."/>
      <w:lvlJc w:val="right"/>
      <w:pPr>
        <w:ind w:left="2586" w:hanging="180"/>
      </w:pPr>
    </w:lvl>
    <w:lvl w:ilvl="3" w:tplc="0C0A000F" w:tentative="1">
      <w:start w:val="1"/>
      <w:numFmt w:val="decimal"/>
      <w:lvlText w:val="%4."/>
      <w:lvlJc w:val="left"/>
      <w:pPr>
        <w:ind w:left="3306" w:hanging="360"/>
      </w:pPr>
    </w:lvl>
    <w:lvl w:ilvl="4" w:tplc="0C0A0019" w:tentative="1">
      <w:start w:val="1"/>
      <w:numFmt w:val="lowerLetter"/>
      <w:lvlText w:val="%5."/>
      <w:lvlJc w:val="left"/>
      <w:pPr>
        <w:ind w:left="4026" w:hanging="360"/>
      </w:pPr>
    </w:lvl>
    <w:lvl w:ilvl="5" w:tplc="0C0A001B" w:tentative="1">
      <w:start w:val="1"/>
      <w:numFmt w:val="lowerRoman"/>
      <w:lvlText w:val="%6."/>
      <w:lvlJc w:val="right"/>
      <w:pPr>
        <w:ind w:left="4746" w:hanging="180"/>
      </w:pPr>
    </w:lvl>
    <w:lvl w:ilvl="6" w:tplc="0C0A000F" w:tentative="1">
      <w:start w:val="1"/>
      <w:numFmt w:val="decimal"/>
      <w:lvlText w:val="%7."/>
      <w:lvlJc w:val="left"/>
      <w:pPr>
        <w:ind w:left="5466" w:hanging="360"/>
      </w:pPr>
    </w:lvl>
    <w:lvl w:ilvl="7" w:tplc="0C0A0019" w:tentative="1">
      <w:start w:val="1"/>
      <w:numFmt w:val="lowerLetter"/>
      <w:lvlText w:val="%8."/>
      <w:lvlJc w:val="left"/>
      <w:pPr>
        <w:ind w:left="6186" w:hanging="360"/>
      </w:pPr>
    </w:lvl>
    <w:lvl w:ilvl="8" w:tplc="0C0A001B" w:tentative="1">
      <w:start w:val="1"/>
      <w:numFmt w:val="lowerRoman"/>
      <w:lvlText w:val="%9."/>
      <w:lvlJc w:val="right"/>
      <w:pPr>
        <w:ind w:left="6906" w:hanging="180"/>
      </w:pPr>
    </w:lvl>
  </w:abstractNum>
  <w:abstractNum w:abstractNumId="33">
    <w:nsid w:val="68222B5E"/>
    <w:multiLevelType w:val="hybridMultilevel"/>
    <w:tmpl w:val="7876D94C"/>
    <w:lvl w:ilvl="0" w:tplc="764CAD72">
      <w:start w:val="1"/>
      <w:numFmt w:val="decimal"/>
      <w:lvlText w:val="%1)"/>
      <w:lvlJc w:val="left"/>
      <w:pPr>
        <w:ind w:left="3060" w:hanging="360"/>
      </w:pPr>
      <w:rPr>
        <w:rFonts w:hint="default"/>
      </w:rPr>
    </w:lvl>
    <w:lvl w:ilvl="1" w:tplc="0C0A0019" w:tentative="1">
      <w:start w:val="1"/>
      <w:numFmt w:val="lowerLetter"/>
      <w:lvlText w:val="%2."/>
      <w:lvlJc w:val="left"/>
      <w:pPr>
        <w:ind w:left="3780" w:hanging="360"/>
      </w:pPr>
    </w:lvl>
    <w:lvl w:ilvl="2" w:tplc="0C0A001B" w:tentative="1">
      <w:start w:val="1"/>
      <w:numFmt w:val="lowerRoman"/>
      <w:lvlText w:val="%3."/>
      <w:lvlJc w:val="right"/>
      <w:pPr>
        <w:ind w:left="4500" w:hanging="180"/>
      </w:pPr>
    </w:lvl>
    <w:lvl w:ilvl="3" w:tplc="0C0A000F" w:tentative="1">
      <w:start w:val="1"/>
      <w:numFmt w:val="decimal"/>
      <w:lvlText w:val="%4."/>
      <w:lvlJc w:val="left"/>
      <w:pPr>
        <w:ind w:left="5220" w:hanging="360"/>
      </w:pPr>
    </w:lvl>
    <w:lvl w:ilvl="4" w:tplc="0C0A0019" w:tentative="1">
      <w:start w:val="1"/>
      <w:numFmt w:val="lowerLetter"/>
      <w:lvlText w:val="%5."/>
      <w:lvlJc w:val="left"/>
      <w:pPr>
        <w:ind w:left="5940" w:hanging="360"/>
      </w:pPr>
    </w:lvl>
    <w:lvl w:ilvl="5" w:tplc="0C0A001B" w:tentative="1">
      <w:start w:val="1"/>
      <w:numFmt w:val="lowerRoman"/>
      <w:lvlText w:val="%6."/>
      <w:lvlJc w:val="right"/>
      <w:pPr>
        <w:ind w:left="6660" w:hanging="180"/>
      </w:pPr>
    </w:lvl>
    <w:lvl w:ilvl="6" w:tplc="0C0A000F" w:tentative="1">
      <w:start w:val="1"/>
      <w:numFmt w:val="decimal"/>
      <w:lvlText w:val="%7."/>
      <w:lvlJc w:val="left"/>
      <w:pPr>
        <w:ind w:left="7380" w:hanging="360"/>
      </w:pPr>
    </w:lvl>
    <w:lvl w:ilvl="7" w:tplc="0C0A0019" w:tentative="1">
      <w:start w:val="1"/>
      <w:numFmt w:val="lowerLetter"/>
      <w:lvlText w:val="%8."/>
      <w:lvlJc w:val="left"/>
      <w:pPr>
        <w:ind w:left="8100" w:hanging="360"/>
      </w:pPr>
    </w:lvl>
    <w:lvl w:ilvl="8" w:tplc="0C0A001B" w:tentative="1">
      <w:start w:val="1"/>
      <w:numFmt w:val="lowerRoman"/>
      <w:lvlText w:val="%9."/>
      <w:lvlJc w:val="right"/>
      <w:pPr>
        <w:ind w:left="8820" w:hanging="180"/>
      </w:pPr>
    </w:lvl>
  </w:abstractNum>
  <w:abstractNum w:abstractNumId="34">
    <w:nsid w:val="69536A1A"/>
    <w:multiLevelType w:val="hybridMultilevel"/>
    <w:tmpl w:val="F2EE302C"/>
    <w:lvl w:ilvl="0" w:tplc="0C0A0017">
      <w:start w:val="1"/>
      <w:numFmt w:val="lowerLetter"/>
      <w:lvlText w:val="%1)"/>
      <w:lvlJc w:val="left"/>
      <w:pPr>
        <w:ind w:left="1353" w:hanging="360"/>
      </w:pPr>
      <w:rPr>
        <w:rFonts w:hint="default"/>
        <w:b/>
        <w:lang w:val="es-E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A6D13C8"/>
    <w:multiLevelType w:val="hybridMultilevel"/>
    <w:tmpl w:val="92289698"/>
    <w:lvl w:ilvl="0" w:tplc="E544E4D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6">
    <w:nsid w:val="72352AB3"/>
    <w:multiLevelType w:val="hybridMultilevel"/>
    <w:tmpl w:val="ABBE0F94"/>
    <w:lvl w:ilvl="0" w:tplc="FBC8EA4E">
      <w:start w:val="1"/>
      <w:numFmt w:val="decimal"/>
      <w:lvlText w:val="%1."/>
      <w:lvlJc w:val="left"/>
      <w:pPr>
        <w:tabs>
          <w:tab w:val="num" w:pos="360"/>
        </w:tabs>
        <w:ind w:left="360" w:hanging="360"/>
      </w:pPr>
      <w:rPr>
        <w:rFonts w:hint="default"/>
        <w:b/>
      </w:rPr>
    </w:lvl>
    <w:lvl w:ilvl="1" w:tplc="EFC877CA">
      <w:start w:val="1"/>
      <w:numFmt w:val="lowerRoman"/>
      <w:lvlText w:val="(%2)"/>
      <w:lvlJc w:val="left"/>
      <w:pPr>
        <w:tabs>
          <w:tab w:val="num" w:pos="1260"/>
        </w:tabs>
        <w:ind w:left="1260" w:hanging="720"/>
      </w:pPr>
      <w:rPr>
        <w:rFonts w:cs="Tahoma" w:hint="default"/>
        <w:b/>
      </w:rPr>
    </w:lvl>
    <w:lvl w:ilvl="2" w:tplc="0C0A001B" w:tentative="1">
      <w:start w:val="1"/>
      <w:numFmt w:val="lowerRoman"/>
      <w:lvlText w:val="%3."/>
      <w:lvlJc w:val="right"/>
      <w:pPr>
        <w:tabs>
          <w:tab w:val="num" w:pos="1620"/>
        </w:tabs>
        <w:ind w:left="1620" w:hanging="180"/>
      </w:pPr>
    </w:lvl>
    <w:lvl w:ilvl="3" w:tplc="0C0A000F" w:tentative="1">
      <w:start w:val="1"/>
      <w:numFmt w:val="decimal"/>
      <w:lvlText w:val="%4."/>
      <w:lvlJc w:val="left"/>
      <w:pPr>
        <w:tabs>
          <w:tab w:val="num" w:pos="2340"/>
        </w:tabs>
        <w:ind w:left="2340" w:hanging="360"/>
      </w:pPr>
    </w:lvl>
    <w:lvl w:ilvl="4" w:tplc="0C0A0019" w:tentative="1">
      <w:start w:val="1"/>
      <w:numFmt w:val="lowerLetter"/>
      <w:lvlText w:val="%5."/>
      <w:lvlJc w:val="left"/>
      <w:pPr>
        <w:tabs>
          <w:tab w:val="num" w:pos="3060"/>
        </w:tabs>
        <w:ind w:left="3060" w:hanging="360"/>
      </w:pPr>
    </w:lvl>
    <w:lvl w:ilvl="5" w:tplc="0C0A001B" w:tentative="1">
      <w:start w:val="1"/>
      <w:numFmt w:val="lowerRoman"/>
      <w:lvlText w:val="%6."/>
      <w:lvlJc w:val="right"/>
      <w:pPr>
        <w:tabs>
          <w:tab w:val="num" w:pos="3780"/>
        </w:tabs>
        <w:ind w:left="3780" w:hanging="180"/>
      </w:pPr>
    </w:lvl>
    <w:lvl w:ilvl="6" w:tplc="0C0A000F" w:tentative="1">
      <w:start w:val="1"/>
      <w:numFmt w:val="decimal"/>
      <w:lvlText w:val="%7."/>
      <w:lvlJc w:val="left"/>
      <w:pPr>
        <w:tabs>
          <w:tab w:val="num" w:pos="4500"/>
        </w:tabs>
        <w:ind w:left="4500" w:hanging="360"/>
      </w:pPr>
    </w:lvl>
    <w:lvl w:ilvl="7" w:tplc="0C0A0019" w:tentative="1">
      <w:start w:val="1"/>
      <w:numFmt w:val="lowerLetter"/>
      <w:lvlText w:val="%8."/>
      <w:lvlJc w:val="left"/>
      <w:pPr>
        <w:tabs>
          <w:tab w:val="num" w:pos="5220"/>
        </w:tabs>
        <w:ind w:left="5220" w:hanging="360"/>
      </w:pPr>
    </w:lvl>
    <w:lvl w:ilvl="8" w:tplc="0C0A001B" w:tentative="1">
      <w:start w:val="1"/>
      <w:numFmt w:val="lowerRoman"/>
      <w:lvlText w:val="%9."/>
      <w:lvlJc w:val="right"/>
      <w:pPr>
        <w:tabs>
          <w:tab w:val="num" w:pos="5940"/>
        </w:tabs>
        <w:ind w:left="5940" w:hanging="180"/>
      </w:pPr>
    </w:lvl>
  </w:abstractNum>
  <w:abstractNum w:abstractNumId="37">
    <w:nsid w:val="73845B43"/>
    <w:multiLevelType w:val="hybridMultilevel"/>
    <w:tmpl w:val="7876D94C"/>
    <w:lvl w:ilvl="0" w:tplc="764CAD72">
      <w:start w:val="1"/>
      <w:numFmt w:val="decimal"/>
      <w:lvlText w:val="%1)"/>
      <w:lvlJc w:val="left"/>
      <w:pPr>
        <w:ind w:left="3060" w:hanging="360"/>
      </w:pPr>
      <w:rPr>
        <w:rFonts w:hint="default"/>
      </w:rPr>
    </w:lvl>
    <w:lvl w:ilvl="1" w:tplc="0C0A0019" w:tentative="1">
      <w:start w:val="1"/>
      <w:numFmt w:val="lowerLetter"/>
      <w:lvlText w:val="%2."/>
      <w:lvlJc w:val="left"/>
      <w:pPr>
        <w:ind w:left="3780" w:hanging="360"/>
      </w:pPr>
    </w:lvl>
    <w:lvl w:ilvl="2" w:tplc="0C0A001B" w:tentative="1">
      <w:start w:val="1"/>
      <w:numFmt w:val="lowerRoman"/>
      <w:lvlText w:val="%3."/>
      <w:lvlJc w:val="right"/>
      <w:pPr>
        <w:ind w:left="4500" w:hanging="180"/>
      </w:pPr>
    </w:lvl>
    <w:lvl w:ilvl="3" w:tplc="0C0A000F" w:tentative="1">
      <w:start w:val="1"/>
      <w:numFmt w:val="decimal"/>
      <w:lvlText w:val="%4."/>
      <w:lvlJc w:val="left"/>
      <w:pPr>
        <w:ind w:left="5220" w:hanging="360"/>
      </w:pPr>
    </w:lvl>
    <w:lvl w:ilvl="4" w:tplc="0C0A0019" w:tentative="1">
      <w:start w:val="1"/>
      <w:numFmt w:val="lowerLetter"/>
      <w:lvlText w:val="%5."/>
      <w:lvlJc w:val="left"/>
      <w:pPr>
        <w:ind w:left="5940" w:hanging="360"/>
      </w:pPr>
    </w:lvl>
    <w:lvl w:ilvl="5" w:tplc="0C0A001B" w:tentative="1">
      <w:start w:val="1"/>
      <w:numFmt w:val="lowerRoman"/>
      <w:lvlText w:val="%6."/>
      <w:lvlJc w:val="right"/>
      <w:pPr>
        <w:ind w:left="6660" w:hanging="180"/>
      </w:pPr>
    </w:lvl>
    <w:lvl w:ilvl="6" w:tplc="0C0A000F" w:tentative="1">
      <w:start w:val="1"/>
      <w:numFmt w:val="decimal"/>
      <w:lvlText w:val="%7."/>
      <w:lvlJc w:val="left"/>
      <w:pPr>
        <w:ind w:left="7380" w:hanging="360"/>
      </w:pPr>
    </w:lvl>
    <w:lvl w:ilvl="7" w:tplc="0C0A0019" w:tentative="1">
      <w:start w:val="1"/>
      <w:numFmt w:val="lowerLetter"/>
      <w:lvlText w:val="%8."/>
      <w:lvlJc w:val="left"/>
      <w:pPr>
        <w:ind w:left="8100" w:hanging="360"/>
      </w:pPr>
    </w:lvl>
    <w:lvl w:ilvl="8" w:tplc="0C0A001B" w:tentative="1">
      <w:start w:val="1"/>
      <w:numFmt w:val="lowerRoman"/>
      <w:lvlText w:val="%9."/>
      <w:lvlJc w:val="right"/>
      <w:pPr>
        <w:ind w:left="8820" w:hanging="180"/>
      </w:pPr>
    </w:lvl>
  </w:abstractNum>
  <w:abstractNum w:abstractNumId="38">
    <w:nsid w:val="7F88550E"/>
    <w:multiLevelType w:val="hybridMultilevel"/>
    <w:tmpl w:val="572CB854"/>
    <w:lvl w:ilvl="0" w:tplc="E048D356">
      <w:start w:val="1"/>
      <w:numFmt w:val="decimal"/>
      <w:lvlText w:val="%1)"/>
      <w:lvlJc w:val="left"/>
      <w:pPr>
        <w:ind w:left="786" w:hanging="360"/>
      </w:pPr>
      <w:rPr>
        <w:rFonts w:hint="default"/>
        <w:b w:val="0"/>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num w:numId="1">
    <w:abstractNumId w:val="29"/>
  </w:num>
  <w:num w:numId="2">
    <w:abstractNumId w:val="28"/>
  </w:num>
  <w:num w:numId="3">
    <w:abstractNumId w:val="36"/>
  </w:num>
  <w:num w:numId="4">
    <w:abstractNumId w:val="3"/>
  </w:num>
  <w:num w:numId="5">
    <w:abstractNumId w:val="8"/>
  </w:num>
  <w:num w:numId="6">
    <w:abstractNumId w:val="14"/>
  </w:num>
  <w:num w:numId="7">
    <w:abstractNumId w:val="17"/>
  </w:num>
  <w:num w:numId="8">
    <w:abstractNumId w:val="0"/>
  </w:num>
  <w:num w:numId="9">
    <w:abstractNumId w:val="1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4"/>
  </w:num>
  <w:num w:numId="14">
    <w:abstractNumId w:val="25"/>
  </w:num>
  <w:num w:numId="15">
    <w:abstractNumId w:val="2"/>
  </w:num>
  <w:num w:numId="16">
    <w:abstractNumId w:val="19"/>
  </w:num>
  <w:num w:numId="17">
    <w:abstractNumId w:val="35"/>
  </w:num>
  <w:num w:numId="18">
    <w:abstractNumId w:val="7"/>
  </w:num>
  <w:num w:numId="19">
    <w:abstractNumId w:val="22"/>
  </w:num>
  <w:num w:numId="20">
    <w:abstractNumId w:val="10"/>
  </w:num>
  <w:num w:numId="21">
    <w:abstractNumId w:val="21"/>
  </w:num>
  <w:num w:numId="22">
    <w:abstractNumId w:val="6"/>
  </w:num>
  <w:num w:numId="23">
    <w:abstractNumId w:val="27"/>
  </w:num>
  <w:num w:numId="24">
    <w:abstractNumId w:val="1"/>
  </w:num>
  <w:num w:numId="25">
    <w:abstractNumId w:val="38"/>
  </w:num>
  <w:num w:numId="26">
    <w:abstractNumId w:val="37"/>
  </w:num>
  <w:num w:numId="27">
    <w:abstractNumId w:val="33"/>
  </w:num>
  <w:num w:numId="28">
    <w:abstractNumId w:val="9"/>
  </w:num>
  <w:num w:numId="29">
    <w:abstractNumId w:val="30"/>
  </w:num>
  <w:num w:numId="30">
    <w:abstractNumId w:val="18"/>
  </w:num>
  <w:num w:numId="31">
    <w:abstractNumId w:val="20"/>
  </w:num>
  <w:num w:numId="32">
    <w:abstractNumId w:val="26"/>
  </w:num>
  <w:num w:numId="33">
    <w:abstractNumId w:val="32"/>
  </w:num>
  <w:num w:numId="34">
    <w:abstractNumId w:val="4"/>
  </w:num>
  <w:num w:numId="35">
    <w:abstractNumId w:val="12"/>
  </w:num>
  <w:num w:numId="36">
    <w:abstractNumId w:val="13"/>
  </w:num>
  <w:num w:numId="37">
    <w:abstractNumId w:val="24"/>
  </w:num>
  <w:num w:numId="38">
    <w:abstractNumId w:val="31"/>
  </w:num>
  <w:num w:numId="39">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B6275A"/>
    <w:rsid w:val="00041D74"/>
    <w:rsid w:val="000C03BF"/>
    <w:rsid w:val="0022116E"/>
    <w:rsid w:val="002505F1"/>
    <w:rsid w:val="0027243D"/>
    <w:rsid w:val="003760CA"/>
    <w:rsid w:val="004654FE"/>
    <w:rsid w:val="00535853"/>
    <w:rsid w:val="005C4B97"/>
    <w:rsid w:val="005F0E2E"/>
    <w:rsid w:val="00670ADF"/>
    <w:rsid w:val="006C7444"/>
    <w:rsid w:val="00893D5C"/>
    <w:rsid w:val="009042C5"/>
    <w:rsid w:val="009A2DAA"/>
    <w:rsid w:val="00A13299"/>
    <w:rsid w:val="00A20614"/>
    <w:rsid w:val="00A80CE7"/>
    <w:rsid w:val="00B0312D"/>
    <w:rsid w:val="00B6275A"/>
    <w:rsid w:val="00B959DD"/>
    <w:rsid w:val="00DE2198"/>
    <w:rsid w:val="00F37AE4"/>
    <w:rsid w:val="00FD283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75A"/>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B6275A"/>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uiPriority w:val="99"/>
    <w:rsid w:val="00B6275A"/>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B6275A"/>
  </w:style>
  <w:style w:type="paragraph" w:styleId="Textoindependiente">
    <w:name w:val="Body Text"/>
    <w:basedOn w:val="Normal"/>
    <w:link w:val="TextoindependienteCar"/>
    <w:uiPriority w:val="99"/>
    <w:rsid w:val="00B6275A"/>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uiPriority w:val="99"/>
    <w:rsid w:val="00B6275A"/>
    <w:rPr>
      <w:rFonts w:ascii="Tahoma" w:eastAsia="Times New Roman" w:hAnsi="Tahoma" w:cs="Times New Roman"/>
      <w:szCs w:val="20"/>
      <w:lang w:val="es-ES_tradnl" w:eastAsia="es-ES"/>
    </w:rPr>
  </w:style>
  <w:style w:type="paragraph" w:customStyle="1" w:styleId="Textoindependiente21">
    <w:name w:val="Texto independiente 21"/>
    <w:basedOn w:val="Normal"/>
    <w:rsid w:val="00B6275A"/>
    <w:pPr>
      <w:jc w:val="both"/>
    </w:pPr>
    <w:rPr>
      <w:rFonts w:ascii="Tahoma" w:hAnsi="Tahoma"/>
      <w:sz w:val="22"/>
    </w:rPr>
  </w:style>
  <w:style w:type="paragraph" w:styleId="Textoindependiente3">
    <w:name w:val="Body Text 3"/>
    <w:basedOn w:val="Normal"/>
    <w:link w:val="Textoindependiente3Car"/>
    <w:rsid w:val="00B6275A"/>
    <w:pPr>
      <w:spacing w:after="120"/>
    </w:pPr>
    <w:rPr>
      <w:sz w:val="16"/>
      <w:szCs w:val="16"/>
      <w:lang w:val="es-PE"/>
    </w:rPr>
  </w:style>
  <w:style w:type="character" w:customStyle="1" w:styleId="Textoindependiente3Car">
    <w:name w:val="Texto independiente 3 Car"/>
    <w:basedOn w:val="Fuentedeprrafopredeter"/>
    <w:link w:val="Textoindependiente3"/>
    <w:rsid w:val="00B6275A"/>
    <w:rPr>
      <w:rFonts w:ascii="Times New Roman" w:eastAsia="Times New Roman" w:hAnsi="Times New Roman" w:cs="Times New Roman"/>
      <w:sz w:val="16"/>
      <w:szCs w:val="16"/>
      <w:lang w:val="es-PE" w:eastAsia="es-ES"/>
    </w:rPr>
  </w:style>
  <w:style w:type="paragraph" w:styleId="Textonotapie">
    <w:name w:val="footnote text"/>
    <w:aliases w:val=" Car,Car, Car2 Car Car Car Car Car, Car2 Car Car, Car2 Car Car Car Car Car Car, Car2 Car1 Car, Car Car Car, Car1 Car, Car2 Car, Car2, Car1,Car1 Car Car, Car4,Car Car Car,Car4,Texto nota pie1,Body Text,Car Car1, Car3,Ca"/>
    <w:basedOn w:val="Normal"/>
    <w:link w:val="TextonotapieCar"/>
    <w:rsid w:val="00B6275A"/>
  </w:style>
  <w:style w:type="character" w:customStyle="1" w:styleId="TextonotapieCar">
    <w:name w:val="Texto nota pie Car"/>
    <w:aliases w:val=" Car Car,Car Car, Car2 Car Car Car Car Car Car1, Car2 Car Car Car, Car2 Car Car Car Car Car Car Car, Car2 Car1 Car Car, Car Car Car Car, Car1 Car Car, Car2 Car Car1, Car2 Car1, Car1 Car1,Car1 Car Car Car, Car4 Car,Car Car Car Car"/>
    <w:basedOn w:val="Fuentedeprrafopredeter"/>
    <w:link w:val="Textonotapie"/>
    <w:rsid w:val="00B6275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B6275A"/>
    <w:rPr>
      <w:vertAlign w:val="superscript"/>
    </w:rPr>
  </w:style>
  <w:style w:type="paragraph" w:styleId="Sangradetextonormal">
    <w:name w:val="Body Text Indent"/>
    <w:basedOn w:val="Normal"/>
    <w:link w:val="SangradetextonormalCar"/>
    <w:rsid w:val="00B6275A"/>
    <w:pPr>
      <w:spacing w:after="120"/>
      <w:ind w:left="283"/>
    </w:pPr>
  </w:style>
  <w:style w:type="character" w:customStyle="1" w:styleId="SangradetextonormalCar">
    <w:name w:val="Sangría de texto normal Car"/>
    <w:basedOn w:val="Fuentedeprrafopredeter"/>
    <w:link w:val="Sangradetextonormal"/>
    <w:rsid w:val="00B6275A"/>
    <w:rPr>
      <w:rFonts w:ascii="Times New Roman" w:eastAsia="Times New Roman" w:hAnsi="Times New Roman" w:cs="Times New Roman"/>
      <w:sz w:val="20"/>
      <w:szCs w:val="20"/>
      <w:lang w:eastAsia="es-ES"/>
    </w:rPr>
  </w:style>
  <w:style w:type="paragraph" w:styleId="Prrafodelista">
    <w:name w:val="List Paragraph"/>
    <w:basedOn w:val="Normal"/>
    <w:uiPriority w:val="34"/>
    <w:qFormat/>
    <w:rsid w:val="00B6275A"/>
    <w:pPr>
      <w:ind w:left="708"/>
    </w:pPr>
    <w:rPr>
      <w:lang w:eastAsia="es-PE"/>
    </w:rPr>
  </w:style>
  <w:style w:type="table" w:styleId="Tablaconcuadrcula">
    <w:name w:val="Table Grid"/>
    <w:basedOn w:val="Tablanormal"/>
    <w:uiPriority w:val="59"/>
    <w:rsid w:val="00B6275A"/>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7">
    <w:name w:val="Pa7"/>
    <w:basedOn w:val="Normal"/>
    <w:next w:val="Normal"/>
    <w:uiPriority w:val="99"/>
    <w:rsid w:val="00B6275A"/>
    <w:pPr>
      <w:autoSpaceDE w:val="0"/>
      <w:autoSpaceDN w:val="0"/>
      <w:adjustRightInd w:val="0"/>
      <w:spacing w:line="181" w:lineRule="atLeast"/>
    </w:pPr>
    <w:rPr>
      <w:rFonts w:ascii="Humnst777 BT" w:hAnsi="Humnst777 BT"/>
      <w:sz w:val="24"/>
      <w:szCs w:val="24"/>
      <w:lang w:val="es-PE" w:eastAsia="es-PE"/>
    </w:rPr>
  </w:style>
  <w:style w:type="paragraph" w:customStyle="1" w:styleId="Pa4">
    <w:name w:val="Pa4"/>
    <w:basedOn w:val="Normal"/>
    <w:next w:val="Normal"/>
    <w:uiPriority w:val="99"/>
    <w:rsid w:val="00B6275A"/>
    <w:pPr>
      <w:autoSpaceDE w:val="0"/>
      <w:autoSpaceDN w:val="0"/>
      <w:adjustRightInd w:val="0"/>
      <w:spacing w:line="181" w:lineRule="atLeast"/>
    </w:pPr>
    <w:rPr>
      <w:rFonts w:ascii="Humnst777 BT" w:hAnsi="Humnst777 BT"/>
      <w:sz w:val="24"/>
      <w:szCs w:val="24"/>
      <w:lang w:val="es-PE" w:eastAsia="es-PE"/>
    </w:rPr>
  </w:style>
  <w:style w:type="paragraph" w:customStyle="1" w:styleId="WW-Sangra2detindependiente">
    <w:name w:val="WW-Sangría 2 de t. independiente"/>
    <w:basedOn w:val="Normal"/>
    <w:uiPriority w:val="99"/>
    <w:rsid w:val="00B6275A"/>
    <w:pPr>
      <w:widowControl w:val="0"/>
      <w:tabs>
        <w:tab w:val="left" w:pos="1985"/>
        <w:tab w:val="left" w:pos="2410"/>
      </w:tabs>
      <w:suppressAutoHyphens/>
      <w:spacing w:line="360" w:lineRule="auto"/>
      <w:ind w:left="2410" w:hanging="2410"/>
      <w:jc w:val="both"/>
    </w:pPr>
    <w:rPr>
      <w:rFonts w:ascii="Tahoma" w:hAnsi="Tahoma"/>
      <w:b/>
      <w:sz w:val="22"/>
      <w:lang w:val="es-ES_tradnl" w:eastAsia="es-PE"/>
    </w:rPr>
  </w:style>
  <w:style w:type="paragraph" w:styleId="HTMLconformatoprevio">
    <w:name w:val="HTML Preformatted"/>
    <w:basedOn w:val="Normal"/>
    <w:link w:val="HTMLconformatoprevioCar"/>
    <w:uiPriority w:val="99"/>
    <w:rsid w:val="00B62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conformatoprevioCar">
    <w:name w:val="HTML con formato previo Car"/>
    <w:basedOn w:val="Fuentedeprrafopredeter"/>
    <w:link w:val="HTMLconformatoprevio"/>
    <w:uiPriority w:val="99"/>
    <w:rsid w:val="00B6275A"/>
    <w:rPr>
      <w:rFonts w:ascii="Courier New" w:eastAsia="Times New Roman" w:hAnsi="Courier New" w:cs="Courier New"/>
      <w:color w:val="000000"/>
      <w:sz w:val="20"/>
      <w:szCs w:val="20"/>
      <w:lang w:eastAsia="es-ES"/>
    </w:rPr>
  </w:style>
  <w:style w:type="paragraph" w:customStyle="1" w:styleId="Prrafodelista1">
    <w:name w:val="Párrafo de lista1"/>
    <w:basedOn w:val="Normal"/>
    <w:rsid w:val="00B6275A"/>
    <w:pPr>
      <w:widowControl w:val="0"/>
      <w:suppressAutoHyphens/>
      <w:ind w:left="720"/>
      <w:contextualSpacing/>
    </w:pPr>
    <w:rPr>
      <w:rFonts w:eastAsia="Calibri"/>
      <w:sz w:val="24"/>
      <w:lang w:val="es-ES_tradnl"/>
    </w:rPr>
  </w:style>
  <w:style w:type="paragraph" w:customStyle="1" w:styleId="Prrafodelista2">
    <w:name w:val="Párrafo de lista2"/>
    <w:basedOn w:val="Normal"/>
    <w:rsid w:val="00B6275A"/>
    <w:pPr>
      <w:widowControl w:val="0"/>
      <w:suppressAutoHyphens/>
      <w:ind w:left="720"/>
    </w:pPr>
    <w:rPr>
      <w:rFonts w:eastAsia="Calibri"/>
      <w:sz w:val="24"/>
      <w:lang w:val="es-ES_tradnl"/>
    </w:rPr>
  </w:style>
  <w:style w:type="paragraph" w:styleId="Sinespaciado">
    <w:name w:val="No Spacing"/>
    <w:uiPriority w:val="1"/>
    <w:qFormat/>
    <w:rsid w:val="00B6275A"/>
    <w:pPr>
      <w:spacing w:after="0" w:line="240" w:lineRule="auto"/>
    </w:pPr>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B6275A"/>
    <w:rPr>
      <w:rFonts w:ascii="Tahoma" w:hAnsi="Tahoma" w:cs="Tahoma"/>
      <w:sz w:val="16"/>
      <w:szCs w:val="16"/>
    </w:rPr>
  </w:style>
  <w:style w:type="character" w:customStyle="1" w:styleId="TextodegloboCar">
    <w:name w:val="Texto de globo Car"/>
    <w:basedOn w:val="Fuentedeprrafopredeter"/>
    <w:link w:val="Textodeglobo"/>
    <w:uiPriority w:val="99"/>
    <w:semiHidden/>
    <w:rsid w:val="00B6275A"/>
    <w:rPr>
      <w:rFonts w:ascii="Tahoma" w:eastAsia="Times New Roman" w:hAnsi="Tahoma" w:cs="Tahoma"/>
      <w:sz w:val="16"/>
      <w:szCs w:val="16"/>
      <w:lang w:eastAsia="es-ES"/>
    </w:rPr>
  </w:style>
  <w:style w:type="paragraph" w:styleId="Encabezado">
    <w:name w:val="header"/>
    <w:aliases w:val="maria,h"/>
    <w:basedOn w:val="Normal"/>
    <w:link w:val="EncabezadoCar"/>
    <w:uiPriority w:val="99"/>
    <w:semiHidden/>
    <w:unhideWhenUsed/>
    <w:rsid w:val="00B6275A"/>
    <w:pPr>
      <w:tabs>
        <w:tab w:val="center" w:pos="4252"/>
        <w:tab w:val="right" w:pos="8504"/>
      </w:tabs>
    </w:pPr>
    <w:rPr>
      <w:sz w:val="24"/>
      <w:szCs w:val="24"/>
    </w:rPr>
  </w:style>
  <w:style w:type="character" w:customStyle="1" w:styleId="EncabezadoCar">
    <w:name w:val="Encabezado Car"/>
    <w:aliases w:val="maria Car,h Car"/>
    <w:basedOn w:val="Fuentedeprrafopredeter"/>
    <w:link w:val="Encabezado"/>
    <w:uiPriority w:val="99"/>
    <w:semiHidden/>
    <w:rsid w:val="00B6275A"/>
    <w:rPr>
      <w:rFonts w:ascii="Times New Roman" w:eastAsia="Times New Roman" w:hAnsi="Times New Roman" w:cs="Times New Roman"/>
      <w:sz w:val="24"/>
      <w:szCs w:val="24"/>
      <w:lang w:eastAsia="es-ES"/>
    </w:rPr>
  </w:style>
  <w:style w:type="paragraph" w:customStyle="1" w:styleId="Default">
    <w:name w:val="Default"/>
    <w:uiPriority w:val="99"/>
    <w:rsid w:val="00B6275A"/>
    <w:pPr>
      <w:autoSpaceDE w:val="0"/>
      <w:autoSpaceDN w:val="0"/>
      <w:adjustRightInd w:val="0"/>
      <w:spacing w:after="0" w:line="240" w:lineRule="auto"/>
    </w:pPr>
    <w:rPr>
      <w:rFonts w:ascii="Tahoma" w:eastAsia="Times New Roman" w:hAnsi="Tahoma" w:cs="Tahoma"/>
      <w:color w:val="000000"/>
      <w:sz w:val="24"/>
      <w:szCs w:val="24"/>
      <w:lang w:eastAsia="es-ES"/>
    </w:rPr>
  </w:style>
</w:styles>
</file>

<file path=word/webSettings.xml><?xml version="1.0" encoding="utf-8"?>
<w:webSettings xmlns:r="http://schemas.openxmlformats.org/officeDocument/2006/relationships" xmlns:w="http://schemas.openxmlformats.org/wordprocessingml/2006/main">
  <w:divs>
    <w:div w:id="39906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26</Pages>
  <Words>9149</Words>
  <Characters>50323</Characters>
  <Application>Microsoft Office Word</Application>
  <DocSecurity>0</DocSecurity>
  <Lines>419</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16</cp:revision>
  <cp:lastPrinted>2011-06-08T23:01:00Z</cp:lastPrinted>
  <dcterms:created xsi:type="dcterms:W3CDTF">2011-06-08T22:30:00Z</dcterms:created>
  <dcterms:modified xsi:type="dcterms:W3CDTF">2011-07-11T14:37:00Z</dcterms:modified>
</cp:coreProperties>
</file>